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AF6E2" w14:textId="77777777" w:rsidR="00781984" w:rsidRPr="00943814" w:rsidRDefault="0066495F" w:rsidP="00045E6E">
      <w:pPr>
        <w:pStyle w:val="Nadpis2"/>
        <w:numPr>
          <w:ilvl w:val="0"/>
          <w:numId w:val="0"/>
        </w:num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  <w:bar w:val="single" w:sz="12" w:color="auto"/>
        </w:pBdr>
        <w:shd w:val="pct15" w:color="auto" w:fill="auto"/>
        <w:tabs>
          <w:tab w:val="left" w:pos="1276"/>
          <w:tab w:val="left" w:pos="1701"/>
          <w:tab w:val="center" w:pos="5953"/>
        </w:tabs>
        <w:ind w:left="1134" w:right="851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Technická správa</w:t>
      </w:r>
    </w:p>
    <w:p w14:paraId="60AAF6E3" w14:textId="77777777" w:rsidR="002456BB" w:rsidRDefault="009D7485" w:rsidP="00045E6E">
      <w:pPr>
        <w:spacing w:after="0" w:line="240" w:lineRule="auto"/>
        <w:jc w:val="center"/>
      </w:pPr>
      <w:r>
        <w:rPr>
          <w:rFonts w:ascii="Arial" w:hAnsi="Arial" w:cs="Arial"/>
          <w:sz w:val="14"/>
          <w:szCs w:val="14"/>
        </w:rPr>
        <w:tab/>
      </w:r>
    </w:p>
    <w:p w14:paraId="232D70AE" w14:textId="4558B474" w:rsidR="00897FED" w:rsidRDefault="00897FED" w:rsidP="00897FED">
      <w:pPr>
        <w:numPr>
          <w:ilvl w:val="0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VŠEOBECNÁ ČASŤ</w:t>
      </w:r>
    </w:p>
    <w:p w14:paraId="6F0E7541" w14:textId="77777777" w:rsidR="00897FED" w:rsidRPr="00015795" w:rsidRDefault="00897FED" w:rsidP="00897FED">
      <w:pPr>
        <w:spacing w:after="0" w:line="240" w:lineRule="auto"/>
        <w:ind w:left="360"/>
        <w:jc w:val="both"/>
        <w:rPr>
          <w:rFonts w:ascii="Arial" w:hAnsi="Arial"/>
          <w:b/>
          <w:sz w:val="20"/>
        </w:rPr>
      </w:pPr>
    </w:p>
    <w:p w14:paraId="19669C01" w14:textId="11D3C739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1.1</w:t>
      </w:r>
      <w:r w:rsidRPr="00015795">
        <w:rPr>
          <w:rFonts w:ascii="Arial" w:hAnsi="Arial"/>
          <w:b/>
          <w:sz w:val="20"/>
        </w:rPr>
        <w:t xml:space="preserve"> Predmet projektu</w:t>
      </w:r>
    </w:p>
    <w:p w14:paraId="5F309B88" w14:textId="4ACA37DC" w:rsidR="0099301F" w:rsidRPr="00015795" w:rsidRDefault="0099301F" w:rsidP="0099301F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sz w:val="20"/>
        </w:rPr>
        <w:t xml:space="preserve">Predmetom tohoto projektu </w:t>
      </w:r>
      <w:r w:rsidR="00F67194">
        <w:rPr>
          <w:rFonts w:ascii="Arial" w:hAnsi="Arial"/>
          <w:sz w:val="20"/>
        </w:rPr>
        <w:t>sú</w:t>
      </w:r>
      <w:r w:rsidR="0002231A">
        <w:rPr>
          <w:rFonts w:ascii="Arial" w:hAnsi="Arial"/>
          <w:sz w:val="20"/>
        </w:rPr>
        <w:t xml:space="preserve"> slaboprúdové rozvody </w:t>
      </w:r>
      <w:r>
        <w:rPr>
          <w:rFonts w:ascii="Arial" w:hAnsi="Arial"/>
          <w:sz w:val="20"/>
        </w:rPr>
        <w:t xml:space="preserve">objektu </w:t>
      </w:r>
      <w:r w:rsidR="00086F57">
        <w:rPr>
          <w:rFonts w:ascii="Arial" w:hAnsi="Arial"/>
          <w:sz w:val="20"/>
        </w:rPr>
        <w:t>TOBOGAN PRE NOC KOŠICE</w:t>
      </w:r>
    </w:p>
    <w:p w14:paraId="700940E9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2E0C17D1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1.2 Projektové podklady</w:t>
      </w:r>
    </w:p>
    <w:p w14:paraId="20FA796E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sz w:val="20"/>
        </w:rPr>
        <w:t>1.2.</w:t>
      </w:r>
      <w:r>
        <w:rPr>
          <w:rFonts w:ascii="Arial" w:hAnsi="Arial"/>
          <w:sz w:val="20"/>
        </w:rPr>
        <w:t>1</w:t>
      </w:r>
      <w:r w:rsidRPr="00015795">
        <w:rPr>
          <w:rFonts w:ascii="Arial" w:hAnsi="Arial"/>
          <w:sz w:val="20"/>
        </w:rPr>
        <w:tab/>
        <w:t>Všeobecné požiadavky investora a prevádzkovateľa</w:t>
      </w:r>
    </w:p>
    <w:p w14:paraId="441135E5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sz w:val="20"/>
        </w:rPr>
        <w:t>1.2.</w:t>
      </w:r>
      <w:r>
        <w:rPr>
          <w:rFonts w:ascii="Arial" w:hAnsi="Arial"/>
          <w:sz w:val="20"/>
        </w:rPr>
        <w:t>2</w:t>
      </w:r>
      <w:r w:rsidRPr="00015795">
        <w:rPr>
          <w:rFonts w:ascii="Arial" w:hAnsi="Arial"/>
          <w:sz w:val="20"/>
        </w:rPr>
        <w:tab/>
        <w:t>Podklady od výrobcov elektrozariadení a prístrojov (katalógy a cenníky)</w:t>
      </w:r>
    </w:p>
    <w:p w14:paraId="3BEC6517" w14:textId="573A63B9" w:rsidR="00216752" w:rsidRDefault="00897FED" w:rsidP="00216752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sz w:val="20"/>
        </w:rPr>
        <w:t>1.2.</w:t>
      </w:r>
      <w:r>
        <w:rPr>
          <w:rFonts w:ascii="Arial" w:hAnsi="Arial"/>
          <w:sz w:val="20"/>
        </w:rPr>
        <w:t>3</w:t>
      </w:r>
      <w:r w:rsidRPr="00015795">
        <w:rPr>
          <w:rFonts w:ascii="Arial" w:hAnsi="Arial"/>
          <w:sz w:val="20"/>
        </w:rPr>
        <w:t xml:space="preserve">  </w:t>
      </w:r>
      <w:r>
        <w:rPr>
          <w:rFonts w:ascii="Arial" w:hAnsi="Arial"/>
          <w:sz w:val="20"/>
        </w:rPr>
        <w:tab/>
      </w:r>
      <w:r w:rsidRPr="00015795">
        <w:rPr>
          <w:rFonts w:ascii="Arial" w:hAnsi="Arial"/>
          <w:sz w:val="20"/>
        </w:rPr>
        <w:t xml:space="preserve">Podklady dodané od </w:t>
      </w:r>
      <w:r>
        <w:rPr>
          <w:rFonts w:ascii="Arial" w:hAnsi="Arial"/>
          <w:sz w:val="20"/>
        </w:rPr>
        <w:t>AS</w:t>
      </w:r>
    </w:p>
    <w:p w14:paraId="2CD73956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57BF7108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b/>
          <w:sz w:val="20"/>
        </w:rPr>
        <w:t>1.3 Normy a predpisy</w:t>
      </w:r>
    </w:p>
    <w:p w14:paraId="0C916F6A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Projekt je vypracovaný na základe všetkých t. č. platných noriem a predpisov, vzťahujúcich sa na zariadenia v ňom navrhované. Menovite sa jedná najmä o:</w:t>
      </w:r>
    </w:p>
    <w:p w14:paraId="426BF725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33 2000-5-51</w:t>
      </w:r>
      <w:r w:rsidRPr="00235A55">
        <w:rPr>
          <w:rFonts w:ascii="Arial" w:hAnsi="Arial"/>
          <w:sz w:val="20"/>
        </w:rPr>
        <w:tab/>
        <w:t>- Výber a stavba elektrických zariadení. Spoločné pravidlá</w:t>
      </w:r>
    </w:p>
    <w:p w14:paraId="42F524C7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EN 62305-1÷4</w:t>
      </w:r>
      <w:r w:rsidRPr="00235A55">
        <w:rPr>
          <w:rFonts w:ascii="Arial" w:hAnsi="Arial"/>
          <w:sz w:val="20"/>
        </w:rPr>
        <w:tab/>
        <w:t>- Ochrana pred zásahom bleskom</w:t>
      </w:r>
    </w:p>
    <w:p w14:paraId="6769E92C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34 1610</w:t>
      </w:r>
      <w:r w:rsidRPr="00235A55">
        <w:rPr>
          <w:rFonts w:ascii="Arial" w:hAnsi="Arial"/>
          <w:sz w:val="20"/>
        </w:rPr>
        <w:tab/>
      </w:r>
      <w:r w:rsidRPr="00235A55">
        <w:rPr>
          <w:rFonts w:ascii="Arial" w:hAnsi="Arial"/>
          <w:sz w:val="20"/>
        </w:rPr>
        <w:tab/>
        <w:t>- Elektrický silnoprúdový rozvod v priemyselných prevádzkach</w:t>
      </w:r>
    </w:p>
    <w:p w14:paraId="65231B9E" w14:textId="10193DC4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33 2000-1</w:t>
      </w:r>
      <w:r w:rsidRPr="00235A55"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 w:rsidRPr="00235A55">
        <w:rPr>
          <w:rFonts w:ascii="Arial" w:hAnsi="Arial"/>
          <w:sz w:val="20"/>
        </w:rPr>
        <w:t>- Elektrické inštalácie nízkeho napätia. Časť 1: Základné princípy, stanovenie všeobecných charakteristík, definície</w:t>
      </w:r>
    </w:p>
    <w:p w14:paraId="0EE7660D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33 2000-4-41</w:t>
      </w:r>
      <w:r w:rsidRPr="00235A55">
        <w:rPr>
          <w:rFonts w:ascii="Arial" w:hAnsi="Arial"/>
          <w:sz w:val="20"/>
        </w:rPr>
        <w:tab/>
        <w:t>- Ochrana pred zásahom elektrickým prúdom</w:t>
      </w:r>
    </w:p>
    <w:p w14:paraId="5E42B88B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33 2000-4-43</w:t>
      </w:r>
      <w:r w:rsidRPr="00235A55">
        <w:rPr>
          <w:rFonts w:ascii="Arial" w:hAnsi="Arial"/>
          <w:sz w:val="20"/>
        </w:rPr>
        <w:tab/>
        <w:t>- Ochrana proti nadprúdom</w:t>
      </w:r>
    </w:p>
    <w:p w14:paraId="40AE92B3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33 2000-5-52</w:t>
      </w:r>
      <w:r w:rsidRPr="00235A55">
        <w:rPr>
          <w:rFonts w:ascii="Arial" w:hAnsi="Arial"/>
          <w:sz w:val="20"/>
        </w:rPr>
        <w:tab/>
        <w:t>- Elektrické rozvody</w:t>
      </w:r>
    </w:p>
    <w:p w14:paraId="043EAD94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33 2000-5-54</w:t>
      </w:r>
      <w:r w:rsidRPr="00235A55">
        <w:rPr>
          <w:rFonts w:ascii="Arial" w:hAnsi="Arial"/>
          <w:sz w:val="20"/>
        </w:rPr>
        <w:tab/>
        <w:t>- Uzemňovacie sústavy</w:t>
      </w:r>
    </w:p>
    <w:p w14:paraId="724764DD" w14:textId="5B3C2CC9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34 1050</w:t>
      </w:r>
      <w:r w:rsidRPr="00235A55"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 w:rsidRPr="00235A55">
        <w:rPr>
          <w:rFonts w:ascii="Arial" w:hAnsi="Arial"/>
          <w:sz w:val="20"/>
        </w:rPr>
        <w:t xml:space="preserve">- Elektrotechnické predpisy STN. Predpisy pre kladenie </w:t>
      </w:r>
      <w:r w:rsidRPr="00235A55">
        <w:rPr>
          <w:rFonts w:ascii="Arial" w:hAnsi="Arial"/>
          <w:sz w:val="20"/>
        </w:rPr>
        <w:tab/>
        <w:t>silnoprúdových elektrických vedení </w:t>
      </w:r>
    </w:p>
    <w:p w14:paraId="37F57A0E" w14:textId="565CE329" w:rsid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STN 73 6005</w:t>
      </w:r>
      <w:r w:rsidRPr="00235A55">
        <w:rPr>
          <w:rFonts w:ascii="Arial" w:hAnsi="Arial"/>
          <w:sz w:val="20"/>
        </w:rPr>
        <w:tab/>
      </w:r>
      <w:r w:rsidRPr="00235A55">
        <w:rPr>
          <w:rFonts w:ascii="Arial" w:hAnsi="Arial"/>
          <w:sz w:val="20"/>
        </w:rPr>
        <w:tab/>
        <w:t>- Priestorová úprava vedení technického vybavenia </w:t>
      </w:r>
    </w:p>
    <w:p w14:paraId="049E6413" w14:textId="4253EE6E" w:rsidR="00F67194" w:rsidRPr="00F67194" w:rsidRDefault="00F67194" w:rsidP="00F67194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F67194">
        <w:rPr>
          <w:rFonts w:ascii="Arial" w:hAnsi="Arial"/>
          <w:sz w:val="20"/>
        </w:rPr>
        <w:t xml:space="preserve">STN EN 50173-1  </w:t>
      </w:r>
      <w:r>
        <w:rPr>
          <w:rFonts w:ascii="Arial" w:hAnsi="Arial"/>
          <w:sz w:val="20"/>
        </w:rPr>
        <w:tab/>
        <w:t>-</w:t>
      </w:r>
      <w:r w:rsidRPr="00F67194">
        <w:rPr>
          <w:rFonts w:ascii="Arial" w:hAnsi="Arial"/>
          <w:sz w:val="20"/>
        </w:rPr>
        <w:t xml:space="preserve"> Základná medzinárodná norma       o univerzálnych  štruktúrovaných kabelážnych systémoch pre prenos dát, telefónie, obrazu a iných nízkonapäťových signálov v budovách a areáloch.</w:t>
      </w:r>
    </w:p>
    <w:p w14:paraId="27DA67BC" w14:textId="351685BE" w:rsidR="00F67194" w:rsidRPr="00F67194" w:rsidRDefault="00F67194" w:rsidP="00F67194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F67194">
        <w:rPr>
          <w:rFonts w:ascii="Arial" w:hAnsi="Arial"/>
          <w:sz w:val="20"/>
        </w:rPr>
        <w:t xml:space="preserve">STN EN 50174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-</w:t>
      </w:r>
      <w:r w:rsidRPr="00F67194">
        <w:rPr>
          <w:rFonts w:ascii="Arial" w:hAnsi="Arial"/>
          <w:sz w:val="20"/>
        </w:rPr>
        <w:t xml:space="preserve"> Informačná technika. Inštalácie káblových rozvodov</w:t>
      </w:r>
    </w:p>
    <w:p w14:paraId="5C6653DA" w14:textId="05885AE7" w:rsidR="00F67194" w:rsidRPr="00F67194" w:rsidRDefault="00F67194" w:rsidP="00F67194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F67194">
        <w:rPr>
          <w:rFonts w:ascii="Arial" w:hAnsi="Arial"/>
          <w:sz w:val="20"/>
        </w:rPr>
        <w:t xml:space="preserve">STN EN 50346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- </w:t>
      </w:r>
      <w:r w:rsidRPr="00F67194">
        <w:rPr>
          <w:rFonts w:ascii="Arial" w:hAnsi="Arial"/>
          <w:sz w:val="20"/>
        </w:rPr>
        <w:t>Informačná technika. Káblové rozvody</w:t>
      </w:r>
    </w:p>
    <w:p w14:paraId="5F584A05" w14:textId="77777777" w:rsidR="00235A55" w:rsidRPr="00235A55" w:rsidRDefault="00235A55" w:rsidP="00F67194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591C80F9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 xml:space="preserve">Vyhláška MPSVaR SR č. 508/2009 Z.z - Zaistenie bezpečnosti a ochrany zdravia pri práci a bezpečnosť technických zariadení. Vyhláška 234/2014 Z.z ktorou sa mení a dopĺňa vyhláška Ministerstva práce, sociálnych vecí a rodiny Slovenskej republiky č. 508/2009 Z. z </w:t>
      </w:r>
    </w:p>
    <w:p w14:paraId="358CC486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Vyhláška MPSVaR SR č. 398/2013Z.z. - ktorou sa mení a dopĺňa vyhláška Ministerstva práce, sociálnych vecí a rodiny Slovenskej republiky č. 508/2009 Z. z.,</w:t>
      </w:r>
    </w:p>
    <w:p w14:paraId="28A14B23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235A55">
        <w:rPr>
          <w:rFonts w:ascii="Arial" w:hAnsi="Arial"/>
          <w:sz w:val="20"/>
        </w:rPr>
        <w:t>Vyhláška Ministerstva zdravotníctva SR č. 541/2007 Z.z. o požiadavkách na osvetlenie pri práci.</w:t>
      </w:r>
    </w:p>
    <w:p w14:paraId="3D64DCBB" w14:textId="2E639823" w:rsidR="00897FED" w:rsidRDefault="00897FED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3B0222">
        <w:rPr>
          <w:rFonts w:ascii="Arial" w:hAnsi="Arial"/>
          <w:sz w:val="20"/>
        </w:rPr>
        <w:t>Súhlas na citovanie noriem udelil Úrad pre normalizáciu,  metrológiu a skúšobníctvo Slovenskej republiky</w:t>
      </w:r>
      <w:r w:rsidRPr="00235A55">
        <w:rPr>
          <w:rFonts w:ascii="Arial" w:hAnsi="Arial"/>
          <w:sz w:val="20"/>
        </w:rPr>
        <w:t xml:space="preserve"> pod č. ÚNMS/00427/2020-702/000364/2020</w:t>
      </w:r>
    </w:p>
    <w:p w14:paraId="3DD040E5" w14:textId="77777777" w:rsidR="00235A55" w:rsidRPr="00235A55" w:rsidRDefault="00235A55" w:rsidP="00235A55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</w:p>
    <w:p w14:paraId="6174CB2C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r w:rsidRPr="00015795">
        <w:rPr>
          <w:rFonts w:ascii="Arial" w:hAnsi="Arial"/>
          <w:b/>
          <w:sz w:val="20"/>
        </w:rPr>
        <w:t>1.4 Kategorizácia elektrického zariadenia podľa miery ohrozenia</w:t>
      </w:r>
    </w:p>
    <w:p w14:paraId="58A33DA3" w14:textId="6C8D94CF" w:rsidR="00897FED" w:rsidRPr="005F111A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5F111A">
        <w:rPr>
          <w:rFonts w:ascii="Arial" w:hAnsi="Arial"/>
          <w:sz w:val="20"/>
        </w:rPr>
        <w:t xml:space="preserve">V zmysle vyhl. 508/2009 Z. z. je elektrické zariadenie navrhované v tomto projekte zaradené do skupiny s vyššou mierou ohrozenia </w:t>
      </w:r>
      <w:r w:rsidR="00086F57">
        <w:rPr>
          <w:rFonts w:ascii="Arial" w:hAnsi="Arial"/>
          <w:sz w:val="20"/>
        </w:rPr>
        <w:t>B</w:t>
      </w:r>
      <w:r w:rsidRPr="005F111A">
        <w:rPr>
          <w:rFonts w:ascii="Arial" w:hAnsi="Arial"/>
          <w:sz w:val="20"/>
        </w:rPr>
        <w:t>.</w:t>
      </w:r>
    </w:p>
    <w:p w14:paraId="09806A37" w14:textId="27FE5EEB" w:rsidR="00897FED" w:rsidRPr="00015795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 w:rsidRPr="005F111A">
        <w:rPr>
          <w:rFonts w:ascii="Arial" w:hAnsi="Arial"/>
          <w:sz w:val="20"/>
        </w:rPr>
        <w:t xml:space="preserve">Podľa § 5 odst. 3 tejto vyhlášky, k tejto dokumentácii </w:t>
      </w:r>
      <w:r w:rsidR="00086F57">
        <w:rPr>
          <w:rFonts w:ascii="Arial" w:hAnsi="Arial"/>
          <w:sz w:val="20"/>
        </w:rPr>
        <w:t xml:space="preserve">nie </w:t>
      </w:r>
      <w:r w:rsidRPr="005F111A">
        <w:rPr>
          <w:rFonts w:ascii="Arial" w:hAnsi="Arial"/>
          <w:sz w:val="20"/>
        </w:rPr>
        <w:t xml:space="preserve">je potrebné úradné osvedčenie, resp. vyjadrenie inšpekčného orgánu </w:t>
      </w:r>
      <w:r w:rsidR="00086F57">
        <w:rPr>
          <w:rFonts w:ascii="Arial" w:hAnsi="Arial"/>
          <w:sz w:val="20"/>
        </w:rPr>
        <w:t>B.</w:t>
      </w:r>
      <w:r w:rsidRPr="00015795">
        <w:rPr>
          <w:rFonts w:ascii="Arial" w:hAnsi="Arial"/>
          <w:sz w:val="20"/>
        </w:rPr>
        <w:t xml:space="preserve"> </w:t>
      </w:r>
    </w:p>
    <w:p w14:paraId="02522F39" w14:textId="77777777" w:rsidR="00235A55" w:rsidRPr="00015795" w:rsidRDefault="00235A55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65649A64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1.5 Rozsah projektu</w:t>
      </w:r>
    </w:p>
    <w:p w14:paraId="5F83EC0E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 w:cs="Arial"/>
          <w:b/>
          <w:sz w:val="20"/>
        </w:rPr>
      </w:pPr>
      <w:r w:rsidRPr="00015795">
        <w:rPr>
          <w:rFonts w:ascii="Arial" w:hAnsi="Arial" w:cs="Arial"/>
          <w:b/>
          <w:sz w:val="20"/>
        </w:rPr>
        <w:t>a) Projekt rieši</w:t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  <w:t xml:space="preserve">   </w:t>
      </w:r>
    </w:p>
    <w:p w14:paraId="1F9C7BA2" w14:textId="514BD619" w:rsidR="0002231A" w:rsidRDefault="0002231A" w:rsidP="00897FED">
      <w:pPr>
        <w:autoSpaceDE w:val="0"/>
        <w:autoSpaceDN w:val="0"/>
        <w:adjustRightInd w:val="0"/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bookmarkStart w:id="0" w:name="_Hlk55900331"/>
      <w:r>
        <w:rPr>
          <w:rFonts w:ascii="Arial" w:hAnsi="Arial"/>
          <w:sz w:val="20"/>
        </w:rPr>
        <w:t xml:space="preserve">- </w:t>
      </w:r>
      <w:r w:rsidR="009D17D8">
        <w:rPr>
          <w:rFonts w:ascii="Arial" w:hAnsi="Arial"/>
          <w:sz w:val="20"/>
        </w:rPr>
        <w:t>doplnenie optického vývodu do racku 0.5</w:t>
      </w:r>
      <w:r>
        <w:rPr>
          <w:rFonts w:ascii="Arial" w:hAnsi="Arial"/>
          <w:sz w:val="20"/>
        </w:rPr>
        <w:t>Štrukt</w:t>
      </w:r>
      <w:r w:rsidR="00D854CE">
        <w:rPr>
          <w:rFonts w:ascii="Arial" w:hAnsi="Arial"/>
          <w:sz w:val="20"/>
        </w:rPr>
        <w:t>ú</w:t>
      </w:r>
      <w:r>
        <w:rPr>
          <w:rFonts w:ascii="Arial" w:hAnsi="Arial"/>
          <w:sz w:val="20"/>
        </w:rPr>
        <w:t>rovaná kabeláž</w:t>
      </w:r>
    </w:p>
    <w:p w14:paraId="037A28B5" w14:textId="0586F68D" w:rsidR="001F7BE0" w:rsidRDefault="001F7BE0" w:rsidP="00897FED">
      <w:pPr>
        <w:autoSpaceDE w:val="0"/>
        <w:autoSpaceDN w:val="0"/>
        <w:adjustRightInd w:val="0"/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- </w:t>
      </w:r>
      <w:r w:rsidR="009D17D8">
        <w:rPr>
          <w:rFonts w:ascii="Arial" w:hAnsi="Arial"/>
          <w:sz w:val="20"/>
        </w:rPr>
        <w:t>metalické prepoje k turniketom, bráne a skrinkám</w:t>
      </w:r>
    </w:p>
    <w:p w14:paraId="32EFA36B" w14:textId="51AF6709" w:rsidR="0002231A" w:rsidRDefault="0002231A" w:rsidP="00897FED">
      <w:pPr>
        <w:autoSpaceDE w:val="0"/>
        <w:autoSpaceDN w:val="0"/>
        <w:adjustRightInd w:val="0"/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- </w:t>
      </w:r>
      <w:r w:rsidR="009D17D8">
        <w:rPr>
          <w:rFonts w:ascii="Arial" w:hAnsi="Arial"/>
          <w:sz w:val="20"/>
        </w:rPr>
        <w:t xml:space="preserve">SLP </w:t>
      </w:r>
      <w:r>
        <w:rPr>
          <w:rFonts w:ascii="Arial" w:hAnsi="Arial"/>
          <w:sz w:val="20"/>
        </w:rPr>
        <w:t>rozvádzač</w:t>
      </w:r>
      <w:r w:rsidR="009D17D8">
        <w:rPr>
          <w:rFonts w:ascii="Arial" w:hAnsi="Arial"/>
          <w:sz w:val="20"/>
        </w:rPr>
        <w:t xml:space="preserve"> R-SLP-EXT</w:t>
      </w:r>
    </w:p>
    <w:bookmarkEnd w:id="0"/>
    <w:p w14:paraId="2A47008E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 w:cs="Arial"/>
          <w:b/>
          <w:sz w:val="20"/>
        </w:rPr>
      </w:pPr>
    </w:p>
    <w:p w14:paraId="00ED0901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 w:cs="Arial"/>
          <w:b/>
          <w:sz w:val="20"/>
        </w:rPr>
      </w:pPr>
      <w:r w:rsidRPr="00015795">
        <w:rPr>
          <w:rFonts w:ascii="Arial" w:hAnsi="Arial" w:cs="Arial"/>
          <w:b/>
          <w:sz w:val="20"/>
        </w:rPr>
        <w:t>b) Projekt nerieši</w:t>
      </w:r>
    </w:p>
    <w:p w14:paraId="1391E72E" w14:textId="45482424" w:rsidR="00235A55" w:rsidRDefault="00897FED" w:rsidP="00F67194">
      <w:pPr>
        <w:spacing w:after="0" w:line="240" w:lineRule="auto"/>
        <w:ind w:left="363" w:right="567" w:firstLine="567"/>
        <w:jc w:val="both"/>
        <w:rPr>
          <w:rFonts w:ascii="Arial" w:hAnsi="Arial" w:cs="Arial"/>
          <w:bCs/>
          <w:sz w:val="20"/>
        </w:rPr>
      </w:pPr>
      <w:r w:rsidRPr="0031696F">
        <w:rPr>
          <w:rFonts w:ascii="Arial" w:hAnsi="Arial" w:cs="Arial"/>
          <w:bCs/>
          <w:sz w:val="20"/>
        </w:rPr>
        <w:t xml:space="preserve">- </w:t>
      </w:r>
      <w:r>
        <w:rPr>
          <w:rFonts w:ascii="Arial" w:hAnsi="Arial" w:cs="Arial"/>
          <w:bCs/>
          <w:sz w:val="20"/>
        </w:rPr>
        <w:t>Elektroinštaláci</w:t>
      </w:r>
      <w:r w:rsidR="00235A55">
        <w:rPr>
          <w:rFonts w:ascii="Arial" w:hAnsi="Arial" w:cs="Arial"/>
          <w:bCs/>
          <w:sz w:val="20"/>
        </w:rPr>
        <w:t xml:space="preserve">a </w:t>
      </w:r>
    </w:p>
    <w:p w14:paraId="7FFA9BF0" w14:textId="2F76B465" w:rsidR="00235A55" w:rsidRDefault="00235A55" w:rsidP="00897FED">
      <w:pPr>
        <w:spacing w:after="0" w:line="240" w:lineRule="auto"/>
        <w:ind w:left="363" w:right="567" w:firstLine="567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- </w:t>
      </w:r>
      <w:r w:rsidR="00F67194">
        <w:rPr>
          <w:rFonts w:ascii="Arial" w:hAnsi="Arial" w:cs="Arial"/>
          <w:bCs/>
          <w:sz w:val="20"/>
        </w:rPr>
        <w:t>Uzemnenie</w:t>
      </w:r>
    </w:p>
    <w:p w14:paraId="1A56651C" w14:textId="1BC65333" w:rsidR="0002231A" w:rsidRDefault="0002231A" w:rsidP="00897FED">
      <w:pPr>
        <w:spacing w:after="0" w:line="240" w:lineRule="auto"/>
        <w:ind w:left="363" w:right="567" w:firstLine="567"/>
        <w:jc w:val="both"/>
        <w:rPr>
          <w:rFonts w:ascii="Arial" w:hAnsi="Arial" w:cs="Arial"/>
          <w:bCs/>
          <w:sz w:val="20"/>
        </w:rPr>
      </w:pPr>
      <w:bookmarkStart w:id="1" w:name="_Hlk55900347"/>
      <w:r>
        <w:rPr>
          <w:rFonts w:ascii="Arial" w:hAnsi="Arial" w:cs="Arial"/>
          <w:bCs/>
          <w:sz w:val="20"/>
        </w:rPr>
        <w:t>- Dátová prípojka</w:t>
      </w:r>
    </w:p>
    <w:p w14:paraId="09236098" w14:textId="4F32216F" w:rsidR="009D17D8" w:rsidRDefault="009D17D8" w:rsidP="00897FED">
      <w:pPr>
        <w:spacing w:after="0" w:line="240" w:lineRule="auto"/>
        <w:ind w:left="363" w:right="567" w:firstLine="567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- ostatné slaboprúdové rozvody</w:t>
      </w:r>
    </w:p>
    <w:bookmarkEnd w:id="1"/>
    <w:p w14:paraId="1294F422" w14:textId="2ADEC596" w:rsidR="0099301F" w:rsidRDefault="0099301F">
      <w:pPr>
        <w:spacing w:after="0" w:line="24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br w:type="page"/>
      </w:r>
    </w:p>
    <w:p w14:paraId="3F4EC257" w14:textId="77777777" w:rsidR="00897FED" w:rsidRDefault="00897FED" w:rsidP="00897FED">
      <w:pPr>
        <w:spacing w:after="0" w:line="240" w:lineRule="auto"/>
        <w:rPr>
          <w:rFonts w:ascii="Arial" w:hAnsi="Arial" w:cs="Arial"/>
          <w:bCs/>
          <w:sz w:val="20"/>
        </w:rPr>
      </w:pPr>
    </w:p>
    <w:p w14:paraId="4FA1A122" w14:textId="77777777" w:rsidR="00897FED" w:rsidRDefault="00897FED" w:rsidP="00897FED">
      <w:pPr>
        <w:spacing w:after="0" w:line="240" w:lineRule="auto"/>
        <w:rPr>
          <w:rFonts w:ascii="Arial" w:hAnsi="Arial" w:cs="Arial"/>
          <w:bCs/>
          <w:sz w:val="20"/>
        </w:rPr>
      </w:pPr>
    </w:p>
    <w:p w14:paraId="77666D80" w14:textId="77777777" w:rsidR="00897FED" w:rsidRPr="00015795" w:rsidRDefault="00897FED" w:rsidP="00897FED">
      <w:pPr>
        <w:numPr>
          <w:ilvl w:val="0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ZÁKLADNÉ ÚDAJE</w:t>
      </w:r>
    </w:p>
    <w:p w14:paraId="2F83CDB3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</w:p>
    <w:p w14:paraId="6E770BCA" w14:textId="6BF9A521" w:rsidR="00897FED" w:rsidRPr="00F67194" w:rsidRDefault="00897FED" w:rsidP="00F67194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Rozvodný systém</w:t>
      </w:r>
      <w:r w:rsidRPr="00015795">
        <w:rPr>
          <w:rFonts w:ascii="Arial" w:hAnsi="Arial"/>
          <w:b/>
          <w:sz w:val="20"/>
        </w:rPr>
        <w:t xml:space="preserve">: </w:t>
      </w:r>
      <w:r>
        <w:rPr>
          <w:rFonts w:ascii="Arial" w:hAnsi="Arial"/>
          <w:b/>
          <w:sz w:val="20"/>
        </w:rPr>
        <w:tab/>
      </w:r>
      <w:r w:rsidR="00F67194">
        <w:rPr>
          <w:rFonts w:ascii="Arial" w:hAnsi="Arial"/>
          <w:b/>
          <w:sz w:val="20"/>
        </w:rPr>
        <w:t>1</w:t>
      </w:r>
      <w:r w:rsidR="00235A55">
        <w:rPr>
          <w:rFonts w:ascii="Arial" w:hAnsi="Arial"/>
          <w:bCs/>
          <w:sz w:val="20"/>
        </w:rPr>
        <w:t>NPE</w:t>
      </w:r>
      <w:r>
        <w:rPr>
          <w:rFonts w:ascii="Arial" w:hAnsi="Arial"/>
          <w:bCs/>
          <w:sz w:val="20"/>
        </w:rPr>
        <w:t xml:space="preserve">~50Hz, </w:t>
      </w:r>
      <w:r w:rsidR="00F67194" w:rsidRPr="00F67194">
        <w:rPr>
          <w:rFonts w:ascii="Arial" w:hAnsi="Arial"/>
          <w:bCs/>
          <w:sz w:val="20"/>
        </w:rPr>
        <w:t>23</w:t>
      </w:r>
      <w:r w:rsidRPr="00F67194">
        <w:rPr>
          <w:rFonts w:ascii="Arial" w:hAnsi="Arial"/>
          <w:bCs/>
          <w:sz w:val="20"/>
        </w:rPr>
        <w:t>0V/TN-</w:t>
      </w:r>
      <w:r w:rsidR="00235A55" w:rsidRPr="00F67194">
        <w:rPr>
          <w:rFonts w:ascii="Arial" w:hAnsi="Arial"/>
          <w:bCs/>
          <w:sz w:val="20"/>
        </w:rPr>
        <w:t>S</w:t>
      </w:r>
      <w:r w:rsidR="00F67194">
        <w:rPr>
          <w:rFonts w:ascii="Arial" w:hAnsi="Arial"/>
          <w:bCs/>
          <w:sz w:val="20"/>
        </w:rPr>
        <w:t>- napájanie</w:t>
      </w:r>
    </w:p>
    <w:p w14:paraId="75F882B1" w14:textId="2E63D34B" w:rsidR="0002231A" w:rsidRPr="00235A55" w:rsidRDefault="0002231A" w:rsidP="00235A55">
      <w:pPr>
        <w:spacing w:after="0" w:line="240" w:lineRule="auto"/>
        <w:ind w:left="2499" w:right="567" w:firstLine="333"/>
        <w:jc w:val="both"/>
        <w:rPr>
          <w:rFonts w:ascii="Arial" w:hAnsi="Arial"/>
          <w:bCs/>
          <w:sz w:val="20"/>
        </w:rPr>
      </w:pPr>
      <w:bookmarkStart w:id="2" w:name="OLE_LINK6"/>
      <w:bookmarkStart w:id="3" w:name="_Hlk55900362"/>
      <w:r w:rsidRPr="001B44F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</w:t>
      </w:r>
      <w:r w:rsidRPr="001B44F8">
        <w:rPr>
          <w:rFonts w:ascii="Arial" w:hAnsi="Arial" w:cs="Arial"/>
          <w:sz w:val="20"/>
          <w:szCs w:val="20"/>
        </w:rPr>
        <w:t>DC 12-48 V / PELV</w:t>
      </w:r>
      <w:bookmarkEnd w:id="2"/>
      <w:r w:rsidR="00F67194">
        <w:rPr>
          <w:rFonts w:ascii="Arial" w:hAnsi="Arial" w:cs="Arial"/>
          <w:sz w:val="20"/>
          <w:szCs w:val="20"/>
        </w:rPr>
        <w:t>, SELV</w:t>
      </w:r>
      <w:r>
        <w:rPr>
          <w:rFonts w:ascii="Arial" w:hAnsi="Arial" w:cs="Arial"/>
          <w:sz w:val="20"/>
          <w:szCs w:val="20"/>
        </w:rPr>
        <w:tab/>
      </w:r>
      <w:r w:rsidRPr="001B44F8">
        <w:rPr>
          <w:rFonts w:ascii="Arial" w:hAnsi="Arial" w:cs="Arial"/>
          <w:sz w:val="20"/>
          <w:szCs w:val="20"/>
        </w:rPr>
        <w:t>- štruktúrovaná kabeláž</w:t>
      </w:r>
    </w:p>
    <w:bookmarkEnd w:id="3"/>
    <w:p w14:paraId="37403C61" w14:textId="60880949" w:rsidR="00897FED" w:rsidRPr="00A10AF6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/>
          <w:b/>
          <w:sz w:val="20"/>
        </w:rPr>
        <w:t>Ochran</w:t>
      </w:r>
      <w:r>
        <w:rPr>
          <w:rFonts w:ascii="Arial" w:hAnsi="Arial"/>
          <w:b/>
          <w:sz w:val="20"/>
        </w:rPr>
        <w:t>né opatrenia</w:t>
      </w:r>
      <w:r w:rsidRPr="00A10AF6">
        <w:rPr>
          <w:rFonts w:ascii="Arial" w:hAnsi="Arial"/>
          <w:b/>
          <w:sz w:val="20"/>
        </w:rPr>
        <w:t xml:space="preserve"> </w:t>
      </w:r>
      <w:r w:rsidRPr="00A10AF6">
        <w:rPr>
          <w:rFonts w:ascii="Arial" w:hAnsi="Arial" w:cs="Arial"/>
          <w:b/>
          <w:sz w:val="20"/>
        </w:rPr>
        <w:t>pred zásahom el. prúdom</w:t>
      </w:r>
      <w:r w:rsidRPr="00A10AF6">
        <w:rPr>
          <w:rFonts w:ascii="Arial" w:hAnsi="Arial" w:cs="Arial"/>
          <w:sz w:val="20"/>
        </w:rPr>
        <w:t xml:space="preserve"> podľa STN 33 2000-4-41</w:t>
      </w:r>
    </w:p>
    <w:p w14:paraId="3659221E" w14:textId="77777777" w:rsidR="00897FED" w:rsidRPr="00A10AF6" w:rsidRDefault="00897FED" w:rsidP="00897FED">
      <w:pPr>
        <w:numPr>
          <w:ilvl w:val="2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A10AF6">
        <w:rPr>
          <w:rFonts w:ascii="Arial" w:hAnsi="Arial"/>
          <w:b/>
          <w:sz w:val="20"/>
        </w:rPr>
        <w:t>Ochranné opatrenie: 411 – Samočinné odpojenie napájania</w:t>
      </w:r>
    </w:p>
    <w:p w14:paraId="147E9A50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Základná ochrana (ochrana pred priamym dotykom)</w:t>
      </w:r>
    </w:p>
    <w:p w14:paraId="57F2B87E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Základná izolácia živých častí – Príloha A, kapitola A.1</w:t>
      </w:r>
    </w:p>
    <w:p w14:paraId="159C93EA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Zábrany alebo kryty – Príloha A, kapitola A.2</w:t>
      </w:r>
    </w:p>
    <w:p w14:paraId="32E33F31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Ochrana pri poruche (ochrana pred nepriamym dotykom)</w:t>
      </w:r>
    </w:p>
    <w:p w14:paraId="52FC03B5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Ochranné uzemnenie a ochranné pospájanie – 411.3.1</w:t>
      </w:r>
    </w:p>
    <w:p w14:paraId="2927067B" w14:textId="15FDEF71" w:rsidR="00897FED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Samočinné odpojenie napájania pri poruche – 411.3.2</w:t>
      </w:r>
    </w:p>
    <w:p w14:paraId="49D76F75" w14:textId="502AA40C" w:rsidR="0002231A" w:rsidRPr="00D854CE" w:rsidRDefault="00D854CE" w:rsidP="00D854CE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bookmarkStart w:id="4" w:name="_Hlk55900413"/>
      <w:r w:rsidRPr="00A10AF6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 xml:space="preserve"> </w:t>
      </w:r>
      <w:r w:rsidR="0002231A" w:rsidRPr="00D854CE">
        <w:rPr>
          <w:rFonts w:ascii="Arial" w:hAnsi="Arial" w:cs="Arial"/>
          <w:sz w:val="20"/>
        </w:rPr>
        <w:t>Malým napätím PELV</w:t>
      </w:r>
      <w:r w:rsidR="00F67194">
        <w:rPr>
          <w:rFonts w:ascii="Arial" w:hAnsi="Arial" w:cs="Arial"/>
          <w:sz w:val="20"/>
        </w:rPr>
        <w:t>, SELV</w:t>
      </w:r>
      <w:r w:rsidR="0002231A" w:rsidRPr="00D854CE">
        <w:rPr>
          <w:rFonts w:ascii="Arial" w:hAnsi="Arial" w:cs="Arial"/>
          <w:sz w:val="20"/>
        </w:rPr>
        <w:t>- 414.3</w:t>
      </w:r>
    </w:p>
    <w:bookmarkEnd w:id="4"/>
    <w:p w14:paraId="29CF8193" w14:textId="6ED8985E" w:rsidR="00080A06" w:rsidRDefault="00897FED" w:rsidP="00235A55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</w:t>
      </w:r>
      <w:r w:rsidR="00080A06">
        <w:rPr>
          <w:rFonts w:ascii="Arial" w:hAnsi="Arial" w:cs="Arial"/>
          <w:sz w:val="20"/>
        </w:rPr>
        <w:t xml:space="preserve"> Doplnková ochrana: Prúdové chrániče RCD- 415.1</w:t>
      </w:r>
    </w:p>
    <w:p w14:paraId="59305A59" w14:textId="6C984D04" w:rsidR="00897FED" w:rsidRPr="00235A55" w:rsidRDefault="00080A06" w:rsidP="00235A55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</w:t>
      </w:r>
      <w:r w:rsidR="00897FED" w:rsidRPr="00080A06">
        <w:rPr>
          <w:rFonts w:ascii="Arial" w:hAnsi="Arial" w:cs="Arial"/>
          <w:sz w:val="20"/>
        </w:rPr>
        <w:t xml:space="preserve"> Doplnkové ochranné pospájanie – 415.2</w:t>
      </w:r>
    </w:p>
    <w:p w14:paraId="2F06F4FB" w14:textId="77777777" w:rsidR="00897FED" w:rsidRPr="00A10AF6" w:rsidRDefault="00897FED" w:rsidP="00897FED">
      <w:pPr>
        <w:numPr>
          <w:ilvl w:val="2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A10AF6">
        <w:rPr>
          <w:rFonts w:ascii="Arial" w:hAnsi="Arial"/>
          <w:b/>
          <w:sz w:val="20"/>
        </w:rPr>
        <w:t>Ochranné opatrenie: 412 – Dvojitá alebo zosilnená izolácia (A/ alebo B/)</w:t>
      </w:r>
    </w:p>
    <w:p w14:paraId="38F10332" w14:textId="77777777" w:rsidR="00897FED" w:rsidRPr="00A10AF6" w:rsidRDefault="00897FED" w:rsidP="00897FED">
      <w:pPr>
        <w:numPr>
          <w:ilvl w:val="3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A10AF6">
        <w:rPr>
          <w:rFonts w:ascii="Arial" w:hAnsi="Arial"/>
          <w:b/>
          <w:sz w:val="20"/>
        </w:rPr>
        <w:t>A/</w:t>
      </w:r>
    </w:p>
    <w:p w14:paraId="11146FFB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Základná ochrana (ochrana pred priamym dotykom)</w:t>
      </w:r>
    </w:p>
    <w:p w14:paraId="5818A95A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Základná izolácia živých častí – Príloha A, kapitola A.1</w:t>
      </w:r>
    </w:p>
    <w:p w14:paraId="4525D23D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Ochrana pri poruche (ochrana pred nepriamym dotykom)</w:t>
      </w:r>
    </w:p>
    <w:p w14:paraId="56FF4141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Prídavná izolácia – N412.1.1.1</w:t>
      </w:r>
    </w:p>
    <w:p w14:paraId="19774550" w14:textId="77777777" w:rsidR="00897FED" w:rsidRPr="00A10AF6" w:rsidRDefault="00897FED" w:rsidP="00897FED">
      <w:pPr>
        <w:numPr>
          <w:ilvl w:val="3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A10AF6">
        <w:rPr>
          <w:rFonts w:ascii="Arial" w:hAnsi="Arial"/>
          <w:b/>
          <w:sz w:val="20"/>
        </w:rPr>
        <w:t>B/</w:t>
      </w:r>
    </w:p>
    <w:p w14:paraId="0FAADAB8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Základná ochrana (ochrana pred priamym dotykom)</w:t>
      </w:r>
    </w:p>
    <w:p w14:paraId="2895715A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Zosilnená izolácia medzi živými časťami a prístupnými časťami – N412.1.1.3</w:t>
      </w:r>
    </w:p>
    <w:p w14:paraId="082A5F7E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• Ochrana pri poruche (ochrana pred nepriamym dotykom)</w:t>
      </w:r>
    </w:p>
    <w:p w14:paraId="5C9E176C" w14:textId="77777777" w:rsidR="00897FED" w:rsidRPr="00A10AF6" w:rsidRDefault="00897FED" w:rsidP="00897FED">
      <w:pPr>
        <w:autoSpaceDE w:val="0"/>
        <w:autoSpaceDN w:val="0"/>
        <w:adjustRightInd w:val="0"/>
        <w:spacing w:after="0" w:line="240" w:lineRule="auto"/>
        <w:ind w:left="567" w:firstLine="567"/>
        <w:jc w:val="both"/>
        <w:rPr>
          <w:rFonts w:ascii="Arial" w:hAnsi="Arial" w:cs="Arial"/>
          <w:sz w:val="20"/>
        </w:rPr>
      </w:pPr>
      <w:r w:rsidRPr="00A10AF6">
        <w:rPr>
          <w:rFonts w:ascii="Arial" w:hAnsi="Arial" w:cs="Arial"/>
          <w:sz w:val="20"/>
        </w:rPr>
        <w:t>– Zosilnená izolácia medzi živými časťami a prístupnými časťami – N412.1.1.3</w:t>
      </w:r>
    </w:p>
    <w:p w14:paraId="37F58258" w14:textId="77777777" w:rsidR="00897FED" w:rsidRPr="00B12863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</w:p>
    <w:p w14:paraId="60964A53" w14:textId="77777777" w:rsidR="00897FED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B16535">
        <w:rPr>
          <w:rFonts w:ascii="Arial" w:hAnsi="Arial"/>
          <w:b/>
          <w:sz w:val="20"/>
        </w:rPr>
        <w:t>Vonkajšie vplyvy</w:t>
      </w:r>
      <w:r w:rsidRPr="00015795">
        <w:rPr>
          <w:rFonts w:ascii="Arial" w:hAnsi="Arial"/>
          <w:b/>
          <w:sz w:val="20"/>
        </w:rPr>
        <w:t>: V zmysle protokolu o</w:t>
      </w:r>
      <w:r>
        <w:rPr>
          <w:rFonts w:ascii="Arial" w:hAnsi="Arial"/>
          <w:b/>
          <w:sz w:val="20"/>
        </w:rPr>
        <w:t xml:space="preserve"> určení vonkajších vplyvov podľa STN 33 2000-5-51:2010</w:t>
      </w:r>
    </w:p>
    <w:p w14:paraId="2EA61176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/>
          <w:sz w:val="20"/>
        </w:rPr>
      </w:pPr>
      <w:bookmarkStart w:id="5" w:name="_Hlk36553770"/>
    </w:p>
    <w:p w14:paraId="33F8B542" w14:textId="77777777" w:rsidR="00897FED" w:rsidRPr="00F579D8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F579D8">
        <w:rPr>
          <w:rFonts w:ascii="Arial" w:hAnsi="Arial"/>
          <w:b/>
          <w:sz w:val="20"/>
        </w:rPr>
        <w:t>Stupeň zabezpečenia dodávky el. energie: 3</w:t>
      </w:r>
    </w:p>
    <w:bookmarkEnd w:id="5"/>
    <w:p w14:paraId="00D76E42" w14:textId="77777777" w:rsidR="00897FED" w:rsidRPr="00F579D8" w:rsidRDefault="00897FED" w:rsidP="00897FED">
      <w:p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</w:p>
    <w:p w14:paraId="63AD8821" w14:textId="77777777" w:rsidR="00897FED" w:rsidRPr="00F579D8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F579D8">
        <w:rPr>
          <w:rFonts w:ascii="Arial" w:hAnsi="Arial"/>
          <w:b/>
          <w:sz w:val="20"/>
        </w:rPr>
        <w:t>Ochrana proti skratu a preťaženiu</w:t>
      </w:r>
    </w:p>
    <w:p w14:paraId="134C5600" w14:textId="7871E38D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 w:rsidRPr="00CA0C92">
        <w:rPr>
          <w:rFonts w:ascii="Arial" w:hAnsi="Arial" w:cs="Arial"/>
          <w:sz w:val="20"/>
        </w:rPr>
        <w:t xml:space="preserve">Obvody sú proti skratu a preťaženiu chránené ističmi </w:t>
      </w:r>
      <w:r>
        <w:rPr>
          <w:rFonts w:ascii="Arial" w:hAnsi="Arial" w:cs="Arial"/>
          <w:sz w:val="20"/>
        </w:rPr>
        <w:t>p</w:t>
      </w:r>
      <w:r w:rsidRPr="00CA0C92">
        <w:rPr>
          <w:rFonts w:ascii="Arial" w:hAnsi="Arial" w:cs="Arial"/>
          <w:sz w:val="20"/>
        </w:rPr>
        <w:t>ríslušného typu a predpísanej dimenzie v</w:t>
      </w:r>
      <w:r w:rsidR="00197613">
        <w:rPr>
          <w:rFonts w:ascii="Arial" w:hAnsi="Arial" w:cs="Arial"/>
          <w:sz w:val="20"/>
        </w:rPr>
        <w:t xml:space="preserve"> napájacích </w:t>
      </w:r>
      <w:r w:rsidRPr="00CA0C92">
        <w:rPr>
          <w:rFonts w:ascii="Arial" w:hAnsi="Arial" w:cs="Arial"/>
          <w:sz w:val="20"/>
        </w:rPr>
        <w:t>rozvádzač</w:t>
      </w:r>
      <w:r w:rsidR="00197613">
        <w:rPr>
          <w:rFonts w:ascii="Arial" w:hAnsi="Arial" w:cs="Arial"/>
          <w:sz w:val="20"/>
        </w:rPr>
        <w:t>och</w:t>
      </w:r>
      <w:r w:rsidR="00F67194">
        <w:rPr>
          <w:rFonts w:ascii="Arial" w:hAnsi="Arial" w:cs="Arial"/>
          <w:sz w:val="20"/>
        </w:rPr>
        <w:t>- Predmet ELI</w:t>
      </w:r>
      <w:r w:rsidRPr="00CA0C92">
        <w:rPr>
          <w:rFonts w:ascii="Arial" w:hAnsi="Arial" w:cs="Arial"/>
          <w:sz w:val="20"/>
        </w:rPr>
        <w:t xml:space="preserve">. </w:t>
      </w:r>
    </w:p>
    <w:p w14:paraId="728BEE2D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</w:p>
    <w:p w14:paraId="7D3D2CAE" w14:textId="77777777" w:rsidR="00897FED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Ochrana proti prepätiu</w:t>
      </w:r>
    </w:p>
    <w:p w14:paraId="2EE804A0" w14:textId="7B0D83BA" w:rsidR="00897FED" w:rsidRDefault="00897FED" w:rsidP="00080A06">
      <w:pPr>
        <w:autoSpaceDE w:val="0"/>
        <w:autoSpaceDN w:val="0"/>
        <w:adjustRightInd w:val="0"/>
        <w:spacing w:after="0" w:line="240" w:lineRule="auto"/>
        <w:ind w:right="531" w:firstLine="375"/>
        <w:jc w:val="both"/>
        <w:rPr>
          <w:rFonts w:ascii="Arial" w:hAnsi="Arial" w:cs="Arial"/>
          <w:sz w:val="20"/>
        </w:rPr>
      </w:pPr>
      <w:r w:rsidRPr="00796141">
        <w:rPr>
          <w:rFonts w:ascii="Arial" w:hAnsi="Arial" w:cs="Arial"/>
          <w:sz w:val="20"/>
        </w:rPr>
        <w:t xml:space="preserve">Ochrana proti prepätiu </w:t>
      </w:r>
      <w:r w:rsidR="00AF4B75">
        <w:rPr>
          <w:rFonts w:ascii="Arial" w:hAnsi="Arial" w:cs="Arial"/>
          <w:sz w:val="20"/>
        </w:rPr>
        <w:t xml:space="preserve">typu 1+2 </w:t>
      </w:r>
      <w:r w:rsidRPr="00796141">
        <w:rPr>
          <w:rFonts w:ascii="Arial" w:hAnsi="Arial" w:cs="Arial"/>
          <w:sz w:val="20"/>
        </w:rPr>
        <w:t>je riešená v</w:t>
      </w:r>
      <w:r w:rsidR="00AF4B75">
        <w:rPr>
          <w:rFonts w:ascii="Arial" w:hAnsi="Arial" w:cs="Arial"/>
          <w:sz w:val="20"/>
        </w:rPr>
        <w:t> napájacích rozvádzačoch (predmet ELI)</w:t>
      </w:r>
      <w:r>
        <w:rPr>
          <w:rFonts w:ascii="Arial" w:hAnsi="Arial" w:cs="Arial"/>
          <w:sz w:val="20"/>
        </w:rPr>
        <w:t>.</w:t>
      </w:r>
      <w:r w:rsidR="00080A06">
        <w:rPr>
          <w:rFonts w:ascii="Arial" w:hAnsi="Arial" w:cs="Arial"/>
          <w:sz w:val="20"/>
        </w:rPr>
        <w:t xml:space="preserve"> </w:t>
      </w:r>
      <w:r w:rsidR="00F67194">
        <w:rPr>
          <w:rFonts w:ascii="Arial" w:hAnsi="Arial" w:cs="Arial"/>
          <w:sz w:val="20"/>
        </w:rPr>
        <w:t xml:space="preserve">V napájacom paneli dátového rozvádzača bude umiestnený zvodič prepätia typu 3. </w:t>
      </w:r>
    </w:p>
    <w:p w14:paraId="160639E1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</w:p>
    <w:p w14:paraId="07E738B8" w14:textId="77777777" w:rsidR="00897FED" w:rsidRPr="00796141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796141">
        <w:rPr>
          <w:rFonts w:ascii="Arial" w:hAnsi="Arial"/>
          <w:b/>
          <w:sz w:val="20"/>
        </w:rPr>
        <w:t>Ochrana proti statickej elektrine</w:t>
      </w:r>
    </w:p>
    <w:p w14:paraId="4C77A55D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right="531" w:firstLine="375"/>
        <w:jc w:val="both"/>
        <w:rPr>
          <w:rFonts w:ascii="Arial" w:hAnsi="Arial" w:cs="Arial"/>
          <w:sz w:val="20"/>
        </w:rPr>
      </w:pPr>
      <w:r w:rsidRPr="00796141">
        <w:rPr>
          <w:rFonts w:ascii="Arial" w:hAnsi="Arial" w:cs="Arial"/>
          <w:sz w:val="20"/>
        </w:rPr>
        <w:t>Za normálnych prevádzkových podmienok v objekte sa nepredpokladá vznik statickej</w:t>
      </w:r>
      <w:r>
        <w:rPr>
          <w:rFonts w:ascii="Arial" w:hAnsi="Arial" w:cs="Arial"/>
          <w:sz w:val="20"/>
        </w:rPr>
        <w:t xml:space="preserve"> </w:t>
      </w:r>
      <w:r w:rsidRPr="00796141">
        <w:rPr>
          <w:rFonts w:ascii="Arial" w:hAnsi="Arial" w:cs="Arial"/>
          <w:sz w:val="20"/>
        </w:rPr>
        <w:t>elektriny v takom množstve, aby mohlo dôjsť k poškodeniu zariadení alebo ohrozeniu zdravia.</w:t>
      </w:r>
    </w:p>
    <w:p w14:paraId="40FEA254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right="673"/>
        <w:jc w:val="both"/>
        <w:rPr>
          <w:rFonts w:ascii="Arial" w:hAnsi="Arial" w:cs="Arial"/>
          <w:sz w:val="20"/>
        </w:rPr>
      </w:pPr>
    </w:p>
    <w:p w14:paraId="5D78E6FD" w14:textId="77777777" w:rsidR="00897FED" w:rsidRPr="00796141" w:rsidRDefault="00897FED" w:rsidP="00897FED">
      <w:pPr>
        <w:numPr>
          <w:ilvl w:val="1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796141">
        <w:rPr>
          <w:rFonts w:ascii="Arial" w:hAnsi="Arial"/>
          <w:b/>
          <w:sz w:val="20"/>
        </w:rPr>
        <w:t>Zostatkové riziko</w:t>
      </w:r>
    </w:p>
    <w:p w14:paraId="02426768" w14:textId="77777777" w:rsidR="00897FED" w:rsidRPr="00273EAC" w:rsidRDefault="00897FED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  <w:r w:rsidRPr="00273EAC">
        <w:rPr>
          <w:rFonts w:ascii="Arial" w:hAnsi="Arial" w:cs="Arial"/>
          <w:sz w:val="20"/>
        </w:rPr>
        <w:t>Prevádzka uvedených zariadení pri dodržaní prevádzkových predpisov, predpísaných intervalov údržby a revízií nespôsobuje vznik zostatkového rizika.</w:t>
      </w:r>
    </w:p>
    <w:p w14:paraId="4885BF0C" w14:textId="77777777" w:rsidR="00897FED" w:rsidRPr="00273EAC" w:rsidRDefault="00897FED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  <w:r w:rsidRPr="00273EAC">
        <w:rPr>
          <w:rFonts w:ascii="Arial" w:hAnsi="Arial" w:cs="Arial"/>
          <w:sz w:val="20"/>
        </w:rPr>
        <w:t>Krytie navrhovaných zariadení je uvedené na príslušných výkresoch PD. Uvedené zariadenia vyhovujú pre inštaláciu do predmetných prostredí.</w:t>
      </w:r>
    </w:p>
    <w:p w14:paraId="4DFF0707" w14:textId="77777777" w:rsidR="00897FED" w:rsidRPr="00273EAC" w:rsidRDefault="00897FED" w:rsidP="00897FED">
      <w:pPr>
        <w:autoSpaceDE w:val="0"/>
        <w:autoSpaceDN w:val="0"/>
        <w:adjustRightInd w:val="0"/>
        <w:spacing w:after="0" w:line="240" w:lineRule="auto"/>
        <w:ind w:right="673"/>
        <w:jc w:val="both"/>
        <w:rPr>
          <w:rFonts w:ascii="Arial" w:hAnsi="Arial" w:cs="Arial"/>
          <w:sz w:val="20"/>
        </w:rPr>
      </w:pPr>
      <w:r w:rsidRPr="00273EAC">
        <w:rPr>
          <w:rFonts w:ascii="Arial" w:hAnsi="Arial" w:cs="Arial"/>
          <w:sz w:val="20"/>
        </w:rPr>
        <w:t>Začlenenie elektrických zariadení podľa miery ohrozenia</w:t>
      </w:r>
    </w:p>
    <w:p w14:paraId="4BBD75F4" w14:textId="6CF11A41" w:rsidR="00897FED" w:rsidRDefault="00897FED" w:rsidP="00897FED">
      <w:pPr>
        <w:autoSpaceDE w:val="0"/>
        <w:autoSpaceDN w:val="0"/>
        <w:adjustRightInd w:val="0"/>
        <w:spacing w:after="0" w:line="240" w:lineRule="auto"/>
        <w:ind w:right="673"/>
        <w:jc w:val="both"/>
        <w:rPr>
          <w:rFonts w:ascii="Arial" w:hAnsi="Arial" w:cs="Arial"/>
          <w:sz w:val="20"/>
        </w:rPr>
      </w:pPr>
      <w:r w:rsidRPr="00273EAC">
        <w:rPr>
          <w:rFonts w:ascii="Arial" w:hAnsi="Arial" w:cs="Arial"/>
          <w:sz w:val="20"/>
        </w:rPr>
        <w:t xml:space="preserve">V zmysle vyhlášky MPSVaR SR č. 508/2009 Z. z., Príloha č.1, III. časť sú inštalované elektrické zariadenia začlenené do skupiny </w:t>
      </w:r>
      <w:r w:rsidR="00F928A7" w:rsidRPr="00273EAC">
        <w:rPr>
          <w:rFonts w:ascii="Arial" w:hAnsi="Arial" w:cs="Arial"/>
          <w:sz w:val="20"/>
        </w:rPr>
        <w:t>A</w:t>
      </w:r>
      <w:r w:rsidRPr="00273EAC">
        <w:rPr>
          <w:rFonts w:ascii="Arial" w:hAnsi="Arial" w:cs="Arial"/>
          <w:sz w:val="20"/>
        </w:rPr>
        <w:t>.</w:t>
      </w:r>
    </w:p>
    <w:p w14:paraId="732D2826" w14:textId="5130251E" w:rsidR="003417E3" w:rsidRDefault="003417E3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3F0CDA4C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right="673" w:firstLine="375"/>
        <w:jc w:val="both"/>
        <w:rPr>
          <w:rFonts w:ascii="Arial" w:hAnsi="Arial" w:cs="Arial"/>
          <w:sz w:val="20"/>
        </w:rPr>
      </w:pPr>
    </w:p>
    <w:p w14:paraId="266A1EE3" w14:textId="77777777" w:rsidR="00897FED" w:rsidRDefault="00897FED" w:rsidP="00897FED">
      <w:pPr>
        <w:numPr>
          <w:ilvl w:val="0"/>
          <w:numId w:val="7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TECHNICKÉ RIEŠENIE</w:t>
      </w:r>
    </w:p>
    <w:p w14:paraId="1EDB5710" w14:textId="77777777" w:rsidR="00BD4A2F" w:rsidRDefault="00BD4A2F" w:rsidP="003A00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bookmarkStart w:id="6" w:name="_Hlk39255099"/>
    </w:p>
    <w:p w14:paraId="7F5A42D0" w14:textId="7AFCF2DE" w:rsidR="003A0029" w:rsidRDefault="003A0029" w:rsidP="003A00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Doplnenie vývodov pre napojenie turniketov, brány a skriniek. Navrhované doplnenie bude riešené z dátového racku 0.5, ktorý sa optickým káblom spojí s vonkajším rozvádzačom R-SLP-EXT, kde bude umiestnený opticko/metalický prevodník, následne v tomto rozvádzači budú metalické vývody vedené ku konkrétnym pozíciám ako sú brána, skrinky a turnikety.</w:t>
      </w:r>
    </w:p>
    <w:p w14:paraId="66E7C542" w14:textId="77777777" w:rsidR="003A0029" w:rsidRDefault="003A0029" w:rsidP="003A00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F38C274" w14:textId="5EB0F9E6" w:rsidR="00BD4A2F" w:rsidRPr="00BE2A48" w:rsidRDefault="00BD4A2F" w:rsidP="00BD4A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sz w:val="20"/>
        </w:rPr>
      </w:pPr>
      <w:r w:rsidRPr="00BE2A48">
        <w:rPr>
          <w:rFonts w:ascii="Arial" w:hAnsi="Arial" w:cs="Arial"/>
          <w:b/>
          <w:bCs/>
          <w:sz w:val="20"/>
        </w:rPr>
        <w:t>Rack 0.</w:t>
      </w:r>
      <w:r w:rsidR="009F1ED9">
        <w:rPr>
          <w:rFonts w:ascii="Arial" w:hAnsi="Arial" w:cs="Arial"/>
          <w:b/>
          <w:bCs/>
          <w:sz w:val="20"/>
        </w:rPr>
        <w:t>5</w:t>
      </w:r>
      <w:r w:rsidRPr="00BE2A48">
        <w:rPr>
          <w:rFonts w:ascii="Arial" w:hAnsi="Arial" w:cs="Arial"/>
          <w:b/>
          <w:bCs/>
          <w:sz w:val="20"/>
        </w:rPr>
        <w:t>- 1.PP</w:t>
      </w:r>
      <w:r>
        <w:rPr>
          <w:rFonts w:ascii="Arial" w:hAnsi="Arial" w:cs="Arial"/>
          <w:b/>
          <w:bCs/>
          <w:sz w:val="20"/>
        </w:rPr>
        <w:t xml:space="preserve">- </w:t>
      </w:r>
      <w:r w:rsidR="009F1ED9">
        <w:rPr>
          <w:rFonts w:ascii="Arial" w:hAnsi="Arial" w:cs="Arial"/>
          <w:b/>
          <w:bCs/>
          <w:sz w:val="20"/>
        </w:rPr>
        <w:t>zázemie</w:t>
      </w:r>
    </w:p>
    <w:p w14:paraId="50762D40" w14:textId="77777777" w:rsidR="003B2A04" w:rsidRDefault="003B2A04" w:rsidP="003B2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Napojený bude 4 vláknovým optickým káblom.</w:t>
      </w:r>
    </w:p>
    <w:p w14:paraId="7F88C1E4" w14:textId="38AC9346" w:rsidR="00BD4A2F" w:rsidRDefault="00BD4A2F" w:rsidP="00BD4A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Umiestnený bude v miestnosti 0.</w:t>
      </w:r>
      <w:r w:rsidR="00A17333">
        <w:rPr>
          <w:rFonts w:ascii="Arial" w:hAnsi="Arial" w:cs="Arial"/>
          <w:sz w:val="20"/>
        </w:rPr>
        <w:t>47</w:t>
      </w:r>
      <w:r>
        <w:rPr>
          <w:rFonts w:ascii="Arial" w:hAnsi="Arial" w:cs="Arial"/>
          <w:sz w:val="20"/>
        </w:rPr>
        <w:t xml:space="preserve">. Navrhnutý je nástenný rozvádzač o veľkosti </w:t>
      </w:r>
      <w:r w:rsidR="009F1ED9">
        <w:rPr>
          <w:rFonts w:ascii="Arial" w:hAnsi="Arial" w:cs="Arial"/>
          <w:sz w:val="20"/>
        </w:rPr>
        <w:t>12</w:t>
      </w:r>
      <w:r>
        <w:rPr>
          <w:rFonts w:ascii="Arial" w:hAnsi="Arial" w:cs="Arial"/>
          <w:sz w:val="20"/>
        </w:rPr>
        <w:t>U.</w:t>
      </w:r>
    </w:p>
    <w:p w14:paraId="0AD1F542" w14:textId="17F500F4" w:rsidR="00790C98" w:rsidRDefault="003A0029" w:rsidP="00790C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Tento dátový rack je doplnený o vonkajšie </w:t>
      </w:r>
    </w:p>
    <w:p w14:paraId="0CD79429" w14:textId="77777777" w:rsidR="00905A47" w:rsidRDefault="00905A47" w:rsidP="00905A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09A79612" w14:textId="77777777" w:rsidR="00216752" w:rsidRPr="0002231A" w:rsidRDefault="00216752" w:rsidP="002167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bCs/>
          <w:sz w:val="20"/>
        </w:rPr>
      </w:pPr>
      <w:r w:rsidRPr="0002231A">
        <w:rPr>
          <w:rFonts w:ascii="Arial" w:hAnsi="Arial" w:cs="Arial"/>
          <w:b/>
          <w:bCs/>
          <w:sz w:val="20"/>
        </w:rPr>
        <w:t>Kabeláž</w:t>
      </w:r>
    </w:p>
    <w:p w14:paraId="2D596B58" w14:textId="54FE1F0A" w:rsidR="005042B6" w:rsidRDefault="005042B6" w:rsidP="002167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Optická kabeláž bude prevedená káblami SM, ktoré budú napájať jednotlivé r</w:t>
      </w:r>
      <w:r w:rsidR="00F342C2">
        <w:rPr>
          <w:rFonts w:ascii="Arial" w:hAnsi="Arial" w:cs="Arial"/>
          <w:sz w:val="20"/>
        </w:rPr>
        <w:t>acky z racku 0.0 na 1.PP.</w:t>
      </w:r>
    </w:p>
    <w:p w14:paraId="1143C1C7" w14:textId="77777777" w:rsidR="00C04957" w:rsidRDefault="005042B6" w:rsidP="002167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Metalická k</w:t>
      </w:r>
      <w:r w:rsidR="00216752">
        <w:rPr>
          <w:rFonts w:ascii="Arial" w:hAnsi="Arial" w:cs="Arial"/>
          <w:sz w:val="20"/>
        </w:rPr>
        <w:t xml:space="preserve">abeláž bude prevedená káblami FTP, ktoré budú napájať dátové zásuvky. </w:t>
      </w:r>
    </w:p>
    <w:p w14:paraId="741A21DC" w14:textId="77777777" w:rsidR="009A6CF6" w:rsidRDefault="009A6CF6" w:rsidP="00606C0F">
      <w:pPr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0"/>
        </w:rPr>
      </w:pPr>
    </w:p>
    <w:p w14:paraId="11701F92" w14:textId="77777777" w:rsidR="009A6CF6" w:rsidRDefault="009A6CF6" w:rsidP="009A6CF6">
      <w:pPr>
        <w:autoSpaceDE w:val="0"/>
        <w:spacing w:after="0" w:line="240" w:lineRule="auto"/>
        <w:ind w:firstLine="567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Systém turniketov a skriniek</w:t>
      </w:r>
    </w:p>
    <w:p w14:paraId="1577E3F5" w14:textId="77777777" w:rsidR="009A6CF6" w:rsidRDefault="009A6CF6" w:rsidP="009A6CF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objekte bude inštalovaný systém kontroly prístupu prostredníctvom turniketov a šatníkových skriniek pozostávajúci z:</w:t>
      </w:r>
    </w:p>
    <w:p w14:paraId="3370DF28" w14:textId="77777777" w:rsidR="009A6CF6" w:rsidRDefault="009A6CF6" w:rsidP="009A6CF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samostatných batériových zámkov Gantner ECO.Lock 7100 F/ISO</w:t>
      </w:r>
    </w:p>
    <w:p w14:paraId="0C2DE15E" w14:textId="77777777" w:rsidR="009A6CF6" w:rsidRDefault="009A6CF6" w:rsidP="009A6CF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ethernetových riadiacich jednotiek Salto CU42E spolu s podružnými jednotkami CU4200 ktoré budú pripojené prostredníctvom rozhrania RS485 a budú poskytovať ovládanie turniketov prostredníctvom reléových vstupov a výstupov</w:t>
      </w:r>
    </w:p>
    <w:p w14:paraId="572B92D6" w14:textId="77777777" w:rsidR="009A6CF6" w:rsidRDefault="009A6CF6" w:rsidP="009A6CF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čítačiek WRDB pre karty technológií Mifare/Desire/NFC/BLE ktoré budú prepojené s ethernetovými riadiacimi jednotkami</w:t>
      </w:r>
    </w:p>
    <w:p w14:paraId="319ACCAE" w14:textId="33F9AE28" w:rsidR="009A6CF6" w:rsidRDefault="009A6CF6" w:rsidP="003A002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- RFID terminálov ktoré budú umiestnené v priestore šatní v celkovom počte 2ks podľa požiadavky prevádzkovateľa.</w:t>
      </w:r>
    </w:p>
    <w:p w14:paraId="1AAAEDC7" w14:textId="77777777" w:rsidR="009A6CF6" w:rsidRDefault="009A6CF6" w:rsidP="009A6CF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Pripojenie jednotlivých komponentov bude riešené prostredníctvom FTP káblov kategórie Cat6A v bezhalogenovom vyhotovení s definovanou triedou reakcie na oheň v zmysle STN 92 0203 B2ca s1,d1,a1. Pripojenie komponentov bude do lokálnej siete prostredníctvom dátového rozvádzača 1.1, pričom dodávku aktívnych sieťových prvkov zabezpečuje prevádzkovateľ objektu.</w:t>
      </w:r>
    </w:p>
    <w:p w14:paraId="2A70B879" w14:textId="77777777" w:rsidR="009A6CF6" w:rsidRDefault="009A6CF6" w:rsidP="009A6CF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Správa systému bude zabezpečená prostredníctvom softvéru Salto Space Online ktorý umožňuje manažovať až 64 tisíc dverí a spravovať viac ako 4 milióny užívateľov. Prepojenie s pokladničným systémom bude prostredníctvom napr. CSV exportu so systému a bude integrovaný zo strany prevádzkovateľa.</w:t>
      </w:r>
    </w:p>
    <w:p w14:paraId="1EAE166F" w14:textId="0C9B011D" w:rsidR="00F62D03" w:rsidRDefault="009A6CF6" w:rsidP="003A002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Projektová dokumentácia predpokladá použitie automatizovaných zámkov v šatniach umiestnených na 1.NP.</w:t>
      </w:r>
    </w:p>
    <w:p w14:paraId="019567D0" w14:textId="77777777" w:rsidR="003417E3" w:rsidRDefault="003417E3" w:rsidP="00F62D03">
      <w:pPr>
        <w:spacing w:after="0" w:line="240" w:lineRule="auto"/>
        <w:jc w:val="both"/>
        <w:rPr>
          <w:rFonts w:ascii="Arial" w:hAnsi="Arial" w:cs="Arial"/>
          <w:sz w:val="20"/>
        </w:rPr>
      </w:pPr>
    </w:p>
    <w:bookmarkEnd w:id="6"/>
    <w:p w14:paraId="33D9DE86" w14:textId="77777777" w:rsidR="00897FED" w:rsidRPr="00D01882" w:rsidRDefault="00897FED" w:rsidP="00897FED">
      <w:pPr>
        <w:numPr>
          <w:ilvl w:val="0"/>
          <w:numId w:val="7"/>
        </w:numPr>
        <w:spacing w:after="0" w:line="240" w:lineRule="auto"/>
        <w:jc w:val="both"/>
        <w:rPr>
          <w:rFonts w:ascii="Arial" w:hAnsi="Arial"/>
          <w:b/>
          <w:caps/>
          <w:sz w:val="20"/>
        </w:rPr>
      </w:pPr>
      <w:r w:rsidRPr="00D01882">
        <w:rPr>
          <w:rFonts w:ascii="Arial" w:hAnsi="Arial"/>
          <w:b/>
          <w:caps/>
          <w:sz w:val="20"/>
        </w:rPr>
        <w:t>124/2006 Z. z., bod Z. z., v znení neskorších predpisov</w:t>
      </w:r>
    </w:p>
    <w:p w14:paraId="483A82FC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Pri správnej montáži EZ, pri uplatnení platných predpisov a STN v oblasti ochrany zdravia pri práci na elektrických zariadeniach nevzniknú neodstrániteľné nebezpečenstva a ohrozenia v zmysle Zákona NR č. 124/2006</w:t>
      </w:r>
    </w:p>
    <w:p w14:paraId="07BFE241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67578FE2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3F286A">
        <w:rPr>
          <w:rFonts w:ascii="Arial" w:hAnsi="Arial" w:cs="Arial"/>
          <w:b/>
          <w:sz w:val="20"/>
        </w:rPr>
        <w:t>Vyhodnotenie neodstrániteľného nebezpečenstva a ohrozenia: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594"/>
        <w:gridCol w:w="1899"/>
        <w:gridCol w:w="1899"/>
        <w:gridCol w:w="1899"/>
      </w:tblGrid>
      <w:tr w:rsidR="00897FED" w:rsidRPr="00A559DA" w14:paraId="063BA5BE" w14:textId="77777777" w:rsidTr="00235A55">
        <w:trPr>
          <w:cantSplit/>
        </w:trPr>
        <w:tc>
          <w:tcPr>
            <w:tcW w:w="1204" w:type="dxa"/>
            <w:vMerge w:val="restart"/>
            <w:vAlign w:val="center"/>
          </w:tcPr>
          <w:p w14:paraId="2537BAC1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Por.              číslo</w:t>
            </w:r>
          </w:p>
        </w:tc>
        <w:tc>
          <w:tcPr>
            <w:tcW w:w="2594" w:type="dxa"/>
            <w:vMerge w:val="restart"/>
            <w:vAlign w:val="center"/>
          </w:tcPr>
          <w:p w14:paraId="660435E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Faktor pracovného</w:t>
            </w:r>
          </w:p>
          <w:p w14:paraId="4A95F80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procesu a</w:t>
            </w:r>
          </w:p>
          <w:p w14:paraId="7658F51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prostredia</w:t>
            </w:r>
          </w:p>
        </w:tc>
        <w:tc>
          <w:tcPr>
            <w:tcW w:w="1899" w:type="dxa"/>
            <w:vMerge w:val="restart"/>
            <w:vAlign w:val="center"/>
          </w:tcPr>
          <w:p w14:paraId="4DBF574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            nebezpečenstvo (stav, veľkosť poškodenia zdravia)</w:t>
            </w:r>
          </w:p>
        </w:tc>
        <w:tc>
          <w:tcPr>
            <w:tcW w:w="1899" w:type="dxa"/>
            <w:vAlign w:val="center"/>
          </w:tcPr>
          <w:p w14:paraId="4085578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 ohrozenie</w:t>
            </w:r>
          </w:p>
        </w:tc>
        <w:tc>
          <w:tcPr>
            <w:tcW w:w="1899" w:type="dxa"/>
            <w:vAlign w:val="center"/>
          </w:tcPr>
          <w:p w14:paraId="567BAA1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Návrh ochranných opatrení proti týmto nebezpečenstvám</w:t>
            </w:r>
          </w:p>
          <w:p w14:paraId="6139ECB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a ohrozeniam</w:t>
            </w:r>
          </w:p>
        </w:tc>
      </w:tr>
      <w:tr w:rsidR="00897FED" w:rsidRPr="00A559DA" w14:paraId="5DDBF31F" w14:textId="77777777" w:rsidTr="00235A55">
        <w:trPr>
          <w:cantSplit/>
        </w:trPr>
        <w:tc>
          <w:tcPr>
            <w:tcW w:w="1204" w:type="dxa"/>
            <w:vMerge/>
            <w:vAlign w:val="center"/>
          </w:tcPr>
          <w:p w14:paraId="39521B6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  <w:vMerge/>
            <w:vAlign w:val="center"/>
          </w:tcPr>
          <w:p w14:paraId="1DF20CCC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14:paraId="69E1A16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FFB096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skrat - vznik požiaru</w:t>
            </w:r>
          </w:p>
        </w:tc>
        <w:tc>
          <w:tcPr>
            <w:tcW w:w="1899" w:type="dxa"/>
            <w:vAlign w:val="center"/>
          </w:tcPr>
          <w:p w14:paraId="2CA555D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1-8</w:t>
            </w:r>
          </w:p>
        </w:tc>
      </w:tr>
      <w:tr w:rsidR="00897FED" w:rsidRPr="00A559DA" w14:paraId="5D2DA4C3" w14:textId="77777777" w:rsidTr="00235A55">
        <w:trPr>
          <w:cantSplit/>
        </w:trPr>
        <w:tc>
          <w:tcPr>
            <w:tcW w:w="1204" w:type="dxa"/>
            <w:vMerge w:val="restart"/>
            <w:vAlign w:val="center"/>
          </w:tcPr>
          <w:p w14:paraId="5A0AE56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94" w:type="dxa"/>
            <w:vMerge w:val="restart"/>
            <w:vAlign w:val="center"/>
          </w:tcPr>
          <w:p w14:paraId="6F102F0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energia</w:t>
            </w:r>
          </w:p>
        </w:tc>
        <w:tc>
          <w:tcPr>
            <w:tcW w:w="1899" w:type="dxa"/>
            <w:vMerge w:val="restart"/>
            <w:vAlign w:val="center"/>
          </w:tcPr>
          <w:p w14:paraId="5AEA2F95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Nebezpečné el. napätie a el. prúd</w:t>
            </w:r>
          </w:p>
          <w:p w14:paraId="65305EF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pre zdravie</w:t>
            </w:r>
          </w:p>
          <w:p w14:paraId="0BB7080A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0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a život</w:t>
            </w:r>
          </w:p>
        </w:tc>
        <w:tc>
          <w:tcPr>
            <w:tcW w:w="1899" w:type="dxa"/>
            <w:vAlign w:val="center"/>
          </w:tcPr>
          <w:p w14:paraId="07BC1BD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so živou časťou v normálnej prevádzke</w:t>
            </w:r>
          </w:p>
        </w:tc>
        <w:tc>
          <w:tcPr>
            <w:tcW w:w="1899" w:type="dxa"/>
            <w:vAlign w:val="center"/>
          </w:tcPr>
          <w:p w14:paraId="5685918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1-6, 8</w:t>
            </w:r>
          </w:p>
        </w:tc>
      </w:tr>
      <w:tr w:rsidR="00897FED" w:rsidRPr="00A559DA" w14:paraId="46946B29" w14:textId="77777777" w:rsidTr="00235A55">
        <w:trPr>
          <w:cantSplit/>
        </w:trPr>
        <w:tc>
          <w:tcPr>
            <w:tcW w:w="1204" w:type="dxa"/>
            <w:vMerge/>
            <w:vAlign w:val="center"/>
          </w:tcPr>
          <w:p w14:paraId="3B16C52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4" w:type="dxa"/>
            <w:vMerge/>
            <w:vAlign w:val="center"/>
          </w:tcPr>
          <w:p w14:paraId="73971E3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Merge/>
            <w:vAlign w:val="center"/>
          </w:tcPr>
          <w:p w14:paraId="07703AF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7793EF85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15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 neživou časťou</w:t>
            </w:r>
          </w:p>
        </w:tc>
        <w:tc>
          <w:tcPr>
            <w:tcW w:w="1899" w:type="dxa"/>
            <w:vAlign w:val="center"/>
          </w:tcPr>
          <w:p w14:paraId="0158CBF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59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1-5, 7-8</w:t>
            </w:r>
          </w:p>
        </w:tc>
      </w:tr>
    </w:tbl>
    <w:p w14:paraId="46DFEDD8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3F286A">
        <w:rPr>
          <w:rFonts w:ascii="Arial" w:hAnsi="Arial" w:cs="Arial"/>
          <w:b/>
          <w:sz w:val="20"/>
        </w:rPr>
        <w:lastRenderedPageBreak/>
        <w:t>Definovanie pojmov podľa zákona č. 124/2006</w:t>
      </w:r>
    </w:p>
    <w:p w14:paraId="17B456A1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Nebezpečenstvo je stav, alebo vlastnosť faktora pracovného procesu a pracovného prostredia, ktoré môžu ohroziť zdravie.</w:t>
      </w:r>
    </w:p>
    <w:p w14:paraId="7C6C2C30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Ohrozenie je situácia, v ktorej nemožno vylúčiť, že zdravie zamestnanca bude poškodené.</w:t>
      </w:r>
    </w:p>
    <w:p w14:paraId="5CE81523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Neodstrániteľné nebezpečenstvo a neodstrániteľné ohrozenie je také nebezpečenstvo a ohrozenie, ktoré podľa súčasných vedeckých a technických poznatkov nemožno vylúčiť ani obmedziť.</w:t>
      </w:r>
    </w:p>
    <w:p w14:paraId="4E7FC88A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173D3465" w14:textId="77777777" w:rsidR="00897FED" w:rsidRPr="00CB0A72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CB0A72">
        <w:rPr>
          <w:rFonts w:ascii="Arial" w:hAnsi="Arial" w:cs="Arial"/>
          <w:b/>
          <w:sz w:val="20"/>
        </w:rPr>
        <w:t>Ochranné opatrenia:</w:t>
      </w:r>
    </w:p>
    <w:p w14:paraId="220FCD80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bookmarkStart w:id="7" w:name="OLE_LINK2"/>
      <w:r w:rsidRPr="0011358A">
        <w:rPr>
          <w:rFonts w:ascii="Arial" w:hAnsi="Arial" w:cs="Arial"/>
          <w:sz w:val="20"/>
        </w:rPr>
        <w:t>Poučenie obsluhy o zásadách bezpečnosti práce a ochrany zdravia.</w:t>
      </w:r>
    </w:p>
    <w:p w14:paraId="534B73ED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Zákaz vstupu nepovolaným osobám.</w:t>
      </w:r>
    </w:p>
    <w:p w14:paraId="10AB2F6E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Poučenie o používaní ochranných a pracovných pomôcok podľa predpisov</w:t>
      </w:r>
    </w:p>
    <w:p w14:paraId="12474AC2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Všetky údržbárske práce prevádzať len s povolením na prácu a s pracovníkmi s predpísanou kvalifikáciou.</w:t>
      </w:r>
    </w:p>
    <w:p w14:paraId="540BA601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Práce s otvoreným ohňom vykonávať iba s povolením.</w:t>
      </w:r>
    </w:p>
    <w:p w14:paraId="5DEC50AC" w14:textId="77777777" w:rsidR="00897FED" w:rsidRPr="0011358A" w:rsidRDefault="00897FED" w:rsidP="00897FED">
      <w:pPr>
        <w:numPr>
          <w:ilvl w:val="0"/>
          <w:numId w:val="8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Základná ochrana pred zásahom elektrickým prúdom pred priamym dotykom: Ochrana izoláciou, ochrana krytím a zábranami v zmysle STN 33 2000 -4 – 41, príloha A.</w:t>
      </w:r>
    </w:p>
    <w:p w14:paraId="4DDFCE4B" w14:textId="77777777" w:rsidR="00897FED" w:rsidRPr="0011358A" w:rsidRDefault="00897FED" w:rsidP="00897FED">
      <w:pPr>
        <w:spacing w:after="0" w:line="240" w:lineRule="auto"/>
        <w:ind w:left="284" w:right="567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 xml:space="preserve">7.  Ochrana pred zásahom elektrickým prúdom pri poruche: </w:t>
      </w:r>
    </w:p>
    <w:p w14:paraId="1A95B94F" w14:textId="14D1CC1F" w:rsidR="00897FED" w:rsidRPr="0011358A" w:rsidRDefault="00897FED" w:rsidP="00E916F3">
      <w:pPr>
        <w:tabs>
          <w:tab w:val="num" w:pos="567"/>
        </w:tabs>
        <w:spacing w:after="0" w:line="240" w:lineRule="auto"/>
        <w:ind w:left="567" w:right="567" w:hanging="283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 xml:space="preserve">     Samočinným odpojením napájania vsieti TN v zmysle STN 33 2000-4-41.</w:t>
      </w:r>
    </w:p>
    <w:p w14:paraId="7CF2D653" w14:textId="77777777" w:rsidR="00897FED" w:rsidRDefault="00897FED" w:rsidP="00897FED">
      <w:pPr>
        <w:numPr>
          <w:ilvl w:val="0"/>
          <w:numId w:val="9"/>
        </w:numPr>
        <w:tabs>
          <w:tab w:val="clear" w:pos="3195"/>
          <w:tab w:val="num" w:pos="567"/>
        </w:tabs>
        <w:spacing w:after="0" w:line="240" w:lineRule="auto"/>
        <w:ind w:left="567" w:right="567" w:hanging="283"/>
        <w:jc w:val="both"/>
        <w:rPr>
          <w:rFonts w:ascii="Arial" w:hAnsi="Arial" w:cs="Arial"/>
          <w:sz w:val="20"/>
        </w:rPr>
      </w:pPr>
      <w:r w:rsidRPr="0011358A">
        <w:rPr>
          <w:rFonts w:ascii="Arial" w:hAnsi="Arial" w:cs="Arial"/>
          <w:sz w:val="20"/>
        </w:rPr>
        <w:t>Pravidelnou revíziou a prehliadkami elektrického zariadenia vykonanými pracovníkmi s predpísanou kvalifikáciou.</w:t>
      </w:r>
    </w:p>
    <w:p w14:paraId="0B152B10" w14:textId="77777777" w:rsidR="00897FED" w:rsidRPr="0011358A" w:rsidRDefault="00897FED" w:rsidP="00897FED">
      <w:pPr>
        <w:spacing w:after="0" w:line="240" w:lineRule="auto"/>
        <w:ind w:left="567" w:right="567"/>
        <w:jc w:val="both"/>
        <w:rPr>
          <w:rFonts w:ascii="Arial" w:hAnsi="Arial" w:cs="Arial"/>
          <w:sz w:val="20"/>
        </w:rPr>
      </w:pPr>
    </w:p>
    <w:bookmarkEnd w:id="7"/>
    <w:p w14:paraId="4621B07F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3F286A">
        <w:rPr>
          <w:rFonts w:ascii="Arial" w:hAnsi="Arial" w:cs="Arial"/>
          <w:b/>
          <w:sz w:val="20"/>
        </w:rPr>
        <w:t>Vytypovanie lokality pre dané neodstrániteľné nebezpečenstvá a ohrozenia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072"/>
        <w:gridCol w:w="2073"/>
        <w:gridCol w:w="2073"/>
        <w:gridCol w:w="2073"/>
      </w:tblGrid>
      <w:tr w:rsidR="00897FED" w:rsidRPr="00A559DA" w14:paraId="1EBABFFE" w14:textId="77777777" w:rsidTr="00235A55">
        <w:tc>
          <w:tcPr>
            <w:tcW w:w="1204" w:type="dxa"/>
            <w:vAlign w:val="center"/>
          </w:tcPr>
          <w:p w14:paraId="157CCE02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Por. číslo</w:t>
            </w:r>
          </w:p>
        </w:tc>
        <w:tc>
          <w:tcPr>
            <w:tcW w:w="2072" w:type="dxa"/>
            <w:vAlign w:val="center"/>
          </w:tcPr>
          <w:p w14:paraId="6FF7DC5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Faktor pracovného procesu a prostredia</w:t>
            </w:r>
          </w:p>
        </w:tc>
        <w:tc>
          <w:tcPr>
            <w:tcW w:w="2073" w:type="dxa"/>
            <w:vAlign w:val="center"/>
          </w:tcPr>
          <w:p w14:paraId="12CD0FF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 nebezpečenstvo</w:t>
            </w:r>
          </w:p>
          <w:p w14:paraId="5FEA0ABC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(stav, veľkosť poškodenia zdravia)</w:t>
            </w:r>
          </w:p>
        </w:tc>
        <w:tc>
          <w:tcPr>
            <w:tcW w:w="2073" w:type="dxa"/>
            <w:vAlign w:val="center"/>
          </w:tcPr>
          <w:p w14:paraId="30AABB3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</w:t>
            </w:r>
          </w:p>
          <w:p w14:paraId="20DE1769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ohrozenie</w:t>
            </w:r>
          </w:p>
        </w:tc>
        <w:tc>
          <w:tcPr>
            <w:tcW w:w="2073" w:type="dxa"/>
            <w:vAlign w:val="center"/>
          </w:tcPr>
          <w:p w14:paraId="0334E17A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Miesta, kde sa vyskytuje neodstrániteľné nebezpečenstvo</w:t>
            </w:r>
          </w:p>
        </w:tc>
      </w:tr>
      <w:tr w:rsidR="00897FED" w:rsidRPr="00A559DA" w14:paraId="0EE0E906" w14:textId="77777777" w:rsidTr="00235A55">
        <w:tc>
          <w:tcPr>
            <w:tcW w:w="1204" w:type="dxa"/>
            <w:vAlign w:val="center"/>
          </w:tcPr>
          <w:p w14:paraId="7D642F5D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72" w:type="dxa"/>
            <w:vAlign w:val="center"/>
          </w:tcPr>
          <w:p w14:paraId="077A0D8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energia</w:t>
            </w:r>
          </w:p>
        </w:tc>
        <w:tc>
          <w:tcPr>
            <w:tcW w:w="2073" w:type="dxa"/>
            <w:vAlign w:val="center"/>
          </w:tcPr>
          <w:p w14:paraId="7066C35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Nebezpečné el. napätie a el. prúd pre zdravie a život</w:t>
            </w:r>
          </w:p>
        </w:tc>
        <w:tc>
          <w:tcPr>
            <w:tcW w:w="2073" w:type="dxa"/>
            <w:vAlign w:val="center"/>
          </w:tcPr>
          <w:p w14:paraId="3161011A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skrat – vznik požiaru</w:t>
            </w:r>
          </w:p>
        </w:tc>
        <w:tc>
          <w:tcPr>
            <w:tcW w:w="2073" w:type="dxa"/>
            <w:vAlign w:val="center"/>
          </w:tcPr>
          <w:p w14:paraId="71741F4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Živé el. časti, neživé el. časti, cudzie vodivé často</w:t>
            </w:r>
          </w:p>
        </w:tc>
      </w:tr>
      <w:tr w:rsidR="00897FED" w:rsidRPr="00A559DA" w14:paraId="1DF09122" w14:textId="77777777" w:rsidTr="00235A55">
        <w:tc>
          <w:tcPr>
            <w:tcW w:w="1204" w:type="dxa"/>
            <w:vAlign w:val="center"/>
          </w:tcPr>
          <w:p w14:paraId="655832F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72" w:type="dxa"/>
            <w:vAlign w:val="center"/>
          </w:tcPr>
          <w:p w14:paraId="03A818E2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62CF3FD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43D0D54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so živou časťou pri normálnej prevádzke</w:t>
            </w:r>
          </w:p>
        </w:tc>
        <w:tc>
          <w:tcPr>
            <w:tcW w:w="2073" w:type="dxa"/>
            <w:vAlign w:val="center"/>
          </w:tcPr>
          <w:p w14:paraId="3D91D04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9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FED" w:rsidRPr="00A559DA" w14:paraId="17C34C24" w14:textId="77777777" w:rsidTr="00235A55">
        <w:tc>
          <w:tcPr>
            <w:tcW w:w="1204" w:type="dxa"/>
            <w:vAlign w:val="center"/>
          </w:tcPr>
          <w:p w14:paraId="30FC8E8F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72" w:type="dxa"/>
            <w:vAlign w:val="center"/>
          </w:tcPr>
          <w:p w14:paraId="63F5C92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6733E39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2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3" w:type="dxa"/>
            <w:vAlign w:val="center"/>
          </w:tcPr>
          <w:p w14:paraId="4CB0128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38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 neživou časťou pri poruche</w:t>
            </w:r>
          </w:p>
        </w:tc>
        <w:tc>
          <w:tcPr>
            <w:tcW w:w="2073" w:type="dxa"/>
            <w:vAlign w:val="center"/>
          </w:tcPr>
          <w:p w14:paraId="19C438CA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9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CC1BE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2DB1667F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0"/>
        </w:rPr>
      </w:pPr>
      <w:r w:rsidRPr="003F286A">
        <w:rPr>
          <w:rFonts w:ascii="Arial" w:hAnsi="Arial" w:cs="Arial"/>
          <w:b/>
          <w:sz w:val="20"/>
        </w:rPr>
        <w:t>Posúdenie rozsahu rizika: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2127"/>
        <w:gridCol w:w="1559"/>
        <w:gridCol w:w="1559"/>
        <w:gridCol w:w="1559"/>
        <w:gridCol w:w="1560"/>
      </w:tblGrid>
      <w:tr w:rsidR="00897FED" w:rsidRPr="00A559DA" w14:paraId="227D61C3" w14:textId="77777777" w:rsidTr="00235A55">
        <w:trPr>
          <w:cantSplit/>
        </w:trPr>
        <w:tc>
          <w:tcPr>
            <w:tcW w:w="1204" w:type="dxa"/>
            <w:vAlign w:val="center"/>
          </w:tcPr>
          <w:p w14:paraId="09B5F32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Por.</w:t>
            </w:r>
          </w:p>
          <w:p w14:paraId="243CD61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číslo</w:t>
            </w:r>
          </w:p>
        </w:tc>
        <w:tc>
          <w:tcPr>
            <w:tcW w:w="2127" w:type="dxa"/>
            <w:vAlign w:val="center"/>
          </w:tcPr>
          <w:p w14:paraId="4CECE992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Neodstrániteľné nebezpečenstvo alebo odstrániteľné ohrozenia</w:t>
            </w:r>
          </w:p>
        </w:tc>
        <w:tc>
          <w:tcPr>
            <w:tcW w:w="3118" w:type="dxa"/>
            <w:gridSpan w:val="2"/>
            <w:vAlign w:val="center"/>
          </w:tcPr>
          <w:p w14:paraId="37C9640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Pravdepodobnosť vzniku</w:t>
            </w:r>
          </w:p>
          <w:p w14:paraId="440E254C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poškodenia zdravia pri práci</w:t>
            </w:r>
          </w:p>
        </w:tc>
        <w:tc>
          <w:tcPr>
            <w:tcW w:w="3119" w:type="dxa"/>
            <w:gridSpan w:val="2"/>
            <w:vAlign w:val="center"/>
          </w:tcPr>
          <w:p w14:paraId="6DB9B185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Stupeň následkov na zdraví</w:t>
            </w:r>
          </w:p>
          <w:p w14:paraId="07DC1E2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 prípade</w:t>
            </w:r>
          </w:p>
        </w:tc>
      </w:tr>
      <w:tr w:rsidR="00897FED" w:rsidRPr="00A559DA" w14:paraId="7AD1373D" w14:textId="77777777" w:rsidTr="00235A55">
        <w:tc>
          <w:tcPr>
            <w:tcW w:w="1204" w:type="dxa"/>
            <w:vAlign w:val="center"/>
          </w:tcPr>
          <w:p w14:paraId="3F1C340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3804E79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F35F0D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Najlepšom1)</w:t>
            </w:r>
          </w:p>
        </w:tc>
        <w:tc>
          <w:tcPr>
            <w:tcW w:w="1559" w:type="dxa"/>
            <w:vAlign w:val="center"/>
          </w:tcPr>
          <w:p w14:paraId="43651F2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Najhoršom2)</w:t>
            </w:r>
          </w:p>
        </w:tc>
        <w:tc>
          <w:tcPr>
            <w:tcW w:w="1559" w:type="dxa"/>
            <w:vAlign w:val="center"/>
          </w:tcPr>
          <w:p w14:paraId="1969EE99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Najlepšom3)</w:t>
            </w:r>
          </w:p>
        </w:tc>
        <w:tc>
          <w:tcPr>
            <w:tcW w:w="1560" w:type="dxa"/>
            <w:vAlign w:val="center"/>
          </w:tcPr>
          <w:p w14:paraId="0FF3109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Najhoršom4)</w:t>
            </w:r>
          </w:p>
        </w:tc>
      </w:tr>
      <w:tr w:rsidR="00897FED" w:rsidRPr="00A559DA" w14:paraId="7FC8FD26" w14:textId="77777777" w:rsidTr="00235A55">
        <w:tc>
          <w:tcPr>
            <w:tcW w:w="1204" w:type="dxa"/>
            <w:vAlign w:val="center"/>
          </w:tcPr>
          <w:p w14:paraId="4741280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29AA758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El. skrat – vznik požiaru</w:t>
            </w:r>
          </w:p>
        </w:tc>
        <w:tc>
          <w:tcPr>
            <w:tcW w:w="1559" w:type="dxa"/>
            <w:vAlign w:val="center"/>
          </w:tcPr>
          <w:p w14:paraId="0B6BB11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59" w:type="dxa"/>
            <w:vAlign w:val="center"/>
          </w:tcPr>
          <w:p w14:paraId="3D7541D4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559" w:type="dxa"/>
            <w:vAlign w:val="center"/>
          </w:tcPr>
          <w:p w14:paraId="566B3BA1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60" w:type="dxa"/>
            <w:vAlign w:val="center"/>
          </w:tcPr>
          <w:p w14:paraId="6ADB729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</w:tr>
      <w:tr w:rsidR="00897FED" w:rsidRPr="00A559DA" w14:paraId="06F05E4B" w14:textId="77777777" w:rsidTr="00235A55">
        <w:tc>
          <w:tcPr>
            <w:tcW w:w="1204" w:type="dxa"/>
            <w:vAlign w:val="center"/>
          </w:tcPr>
          <w:p w14:paraId="5CA48E6B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7" w:type="dxa"/>
            <w:vAlign w:val="center"/>
          </w:tcPr>
          <w:p w14:paraId="2FF88334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so živou časťou pri normálnej prevádzke</w:t>
            </w:r>
          </w:p>
        </w:tc>
        <w:tc>
          <w:tcPr>
            <w:tcW w:w="1559" w:type="dxa"/>
            <w:vAlign w:val="center"/>
          </w:tcPr>
          <w:p w14:paraId="6BCE1DA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59" w:type="dxa"/>
            <w:vAlign w:val="center"/>
          </w:tcPr>
          <w:p w14:paraId="5D559A77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559" w:type="dxa"/>
            <w:vAlign w:val="center"/>
          </w:tcPr>
          <w:p w14:paraId="3813A39E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60" w:type="dxa"/>
            <w:vAlign w:val="center"/>
          </w:tcPr>
          <w:p w14:paraId="6478BCD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</w:tr>
      <w:tr w:rsidR="00897FED" w:rsidRPr="00A559DA" w14:paraId="35D3925F" w14:textId="77777777" w:rsidTr="00235A55">
        <w:tc>
          <w:tcPr>
            <w:tcW w:w="1204" w:type="dxa"/>
            <w:vAlign w:val="center"/>
          </w:tcPr>
          <w:p w14:paraId="4E5E17D8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7" w:type="dxa"/>
            <w:vAlign w:val="center"/>
          </w:tcPr>
          <w:p w14:paraId="0AC5A6F1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Dotyk s neživou časťou pri poruche</w:t>
            </w:r>
          </w:p>
        </w:tc>
        <w:tc>
          <w:tcPr>
            <w:tcW w:w="1559" w:type="dxa"/>
            <w:vAlign w:val="center"/>
          </w:tcPr>
          <w:p w14:paraId="5BA22D7C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1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59" w:type="dxa"/>
            <w:vAlign w:val="center"/>
          </w:tcPr>
          <w:p w14:paraId="77B7E840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  <w:tc>
          <w:tcPr>
            <w:tcW w:w="1559" w:type="dxa"/>
            <w:vAlign w:val="center"/>
          </w:tcPr>
          <w:p w14:paraId="6555E944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žiadna</w:t>
            </w:r>
          </w:p>
        </w:tc>
        <w:tc>
          <w:tcPr>
            <w:tcW w:w="1560" w:type="dxa"/>
            <w:vAlign w:val="center"/>
          </w:tcPr>
          <w:p w14:paraId="2BE2C606" w14:textId="77777777" w:rsidR="00897FED" w:rsidRPr="00A559DA" w:rsidRDefault="00897FED" w:rsidP="00235A55">
            <w:pPr>
              <w:pStyle w:val="Zarkazkladnhotextu"/>
              <w:spacing w:after="0" w:line="240" w:lineRule="auto"/>
              <w:ind w:left="72"/>
              <w:rPr>
                <w:rFonts w:ascii="Arial" w:hAnsi="Arial" w:cs="Arial"/>
                <w:sz w:val="20"/>
                <w:szCs w:val="20"/>
              </w:rPr>
            </w:pPr>
            <w:r w:rsidRPr="00A559DA">
              <w:rPr>
                <w:rFonts w:ascii="Arial" w:hAnsi="Arial" w:cs="Arial"/>
                <w:sz w:val="20"/>
                <w:szCs w:val="20"/>
              </w:rPr>
              <w:t>vysoká</w:t>
            </w:r>
          </w:p>
        </w:tc>
      </w:tr>
    </w:tbl>
    <w:p w14:paraId="10A31736" w14:textId="77777777" w:rsidR="00897FED" w:rsidRPr="003F286A" w:rsidRDefault="00897FED" w:rsidP="00897F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</w:rPr>
      </w:pPr>
    </w:p>
    <w:p w14:paraId="5BBE3E25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Definovanie pojmov podľa zákona č. 124/2006 Z. z.</w:t>
      </w:r>
    </w:p>
    <w:p w14:paraId="2C62EEE1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Riziko je pravdepodobnosť, vzniku poškodenia zdravia zamestnanca pri práci a možných následkov na zdraví.</w:t>
      </w:r>
    </w:p>
    <w:p w14:paraId="6A72F49E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Najlepší prípad z hľadiska pravdepodobnosti vzniku poškodenia zdravia je, ak sa dodržiava pracovná disciplína a sú dodržané pracovné a bezpečnostné predpisy.</w:t>
      </w:r>
    </w:p>
    <w:p w14:paraId="571F4B28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Najhorší prípad z hľadiska pravdepodobnosti vzniku poškodenia zdravia je, ak sa nedodržiava pracovná disciplína a nie sú dodržané pracovné a bezpečnostné predpisy a je súbeh viacerých nebezpečenstiev a ohrození.</w:t>
      </w:r>
    </w:p>
    <w:p w14:paraId="66931DBD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Najlepší prípad  z hľadiska možných následkov je, ak pri výskyte daného nebezpečenstva, alebo ohrozenia je minimálny dopad na zdravie zamestnancov.</w:t>
      </w:r>
    </w:p>
    <w:p w14:paraId="34E8BE31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 w:rsidRPr="00565711">
        <w:rPr>
          <w:rFonts w:ascii="Arial" w:hAnsi="Arial" w:cs="Arial"/>
          <w:sz w:val="20"/>
        </w:rPr>
        <w:t>Najhorší prípad z hľadiska možných následkov na zdraví je, ak pri výskyte daného nebezpečenstva, alebo ohrozenia sa predpokladá dosiahnutie najhoršieho možného dopadu na zdravie zamestnancov</w:t>
      </w:r>
      <w:r>
        <w:rPr>
          <w:rFonts w:ascii="Arial" w:hAnsi="Arial" w:cs="Arial"/>
          <w:sz w:val="20"/>
        </w:rPr>
        <w:t>.</w:t>
      </w:r>
    </w:p>
    <w:p w14:paraId="5FD5322B" w14:textId="77777777" w:rsidR="00897FED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Dodávateľ prác je zodpovedný za správne a sústavné vyhodnocovanie nebezpečenstiev a rizík a následné prijatia adekvátnych opatrení na zaistenie bezpečnosti a ochrany zdravia pri práci pri všetkých pracovných činnostiach.</w:t>
      </w:r>
    </w:p>
    <w:p w14:paraId="10F289B2" w14:textId="77777777" w:rsidR="00897FED" w:rsidRPr="00565711" w:rsidRDefault="00897FED" w:rsidP="00897FED">
      <w:pPr>
        <w:autoSpaceDE w:val="0"/>
        <w:autoSpaceDN w:val="0"/>
        <w:adjustRightInd w:val="0"/>
        <w:spacing w:after="0" w:line="240" w:lineRule="auto"/>
        <w:ind w:firstLine="37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náväznosti na hodnotenie rizík dodávateľ prác zodpovedá za pridelenie  účinných OOPP zamestnancom v zmysle NV SR č. 395/2006 Z.z.</w:t>
      </w:r>
    </w:p>
    <w:p w14:paraId="25EBF7FA" w14:textId="277E90FF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bCs/>
          <w:sz w:val="20"/>
        </w:rPr>
      </w:pPr>
    </w:p>
    <w:p w14:paraId="3D8D4AF9" w14:textId="77777777" w:rsidR="00897FED" w:rsidRPr="00015795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bCs/>
          <w:sz w:val="20"/>
        </w:rPr>
      </w:pPr>
    </w:p>
    <w:p w14:paraId="444BC54F" w14:textId="77777777" w:rsidR="00897FED" w:rsidRPr="00015795" w:rsidRDefault="00897FED" w:rsidP="00897FED">
      <w:pPr>
        <w:numPr>
          <w:ilvl w:val="0"/>
          <w:numId w:val="10"/>
        </w:numPr>
        <w:spacing w:after="0" w:line="240" w:lineRule="auto"/>
        <w:ind w:right="567"/>
        <w:jc w:val="both"/>
        <w:rPr>
          <w:rFonts w:ascii="Arial" w:hAnsi="Arial"/>
          <w:b/>
          <w:sz w:val="20"/>
        </w:rPr>
      </w:pPr>
      <w:r w:rsidRPr="00015795">
        <w:rPr>
          <w:rFonts w:ascii="Arial" w:hAnsi="Arial"/>
          <w:b/>
          <w:sz w:val="20"/>
        </w:rPr>
        <w:t>OCHRANA ZDRAVIA A BEZPEČNOSŤ PRI PRÁCI</w:t>
      </w:r>
    </w:p>
    <w:p w14:paraId="29DD49B5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 w:rsidRPr="00015795">
        <w:rPr>
          <w:rFonts w:ascii="Arial" w:hAnsi="Arial"/>
          <w:sz w:val="20"/>
        </w:rPr>
        <w:t xml:space="preserve">Pri práci s elektrickým zariadením sa musia dodržiavať bezpečnostné predpisy a normy STN, hlavne STN 34 3100 a vyhláška č. </w:t>
      </w:r>
      <w:r>
        <w:rPr>
          <w:rFonts w:ascii="Arial" w:hAnsi="Arial"/>
          <w:sz w:val="20"/>
        </w:rPr>
        <w:t>508/2009</w:t>
      </w:r>
      <w:r w:rsidRPr="00015795">
        <w:rPr>
          <w:rFonts w:ascii="Arial" w:hAnsi="Arial"/>
          <w:sz w:val="20"/>
        </w:rPr>
        <w:t xml:space="preserve"> Z.z. Práce na elektrickom zariadení sa musia vykonávať v beznapäťovom stave. Práce a obsluhu na elektrickom zariadení môžu vykonávať pracovníci s oprávnením v zmysle vyhlášky č. </w:t>
      </w:r>
      <w:r>
        <w:rPr>
          <w:rFonts w:ascii="Arial" w:hAnsi="Arial"/>
          <w:sz w:val="20"/>
        </w:rPr>
        <w:t>508/2009</w:t>
      </w:r>
      <w:r w:rsidRPr="00015795">
        <w:rPr>
          <w:rFonts w:ascii="Arial" w:hAnsi="Arial"/>
          <w:sz w:val="20"/>
        </w:rPr>
        <w:t xml:space="preserve"> Z.z a firmy s oprávnením na realizáciu prác na elektrickom zariadeniach. Pri práci je potrebné používať predpísané a preskúšané nástroje, pracovné pomôcky a meracie prístroje. Obsluhu pri normálnej prevádzke zariadenia môžu vykonávať osoby poučené </w:t>
      </w:r>
      <w:r w:rsidRPr="00015795">
        <w:rPr>
          <w:rFonts w:ascii="Arial" w:hAnsi="Arial" w:cs="Arial"/>
          <w:sz w:val="20"/>
        </w:rPr>
        <w:t xml:space="preserve">§20 v zmysle vyhlášky č. </w:t>
      </w:r>
      <w:r>
        <w:rPr>
          <w:rFonts w:ascii="Arial" w:hAnsi="Arial" w:cs="Arial"/>
          <w:sz w:val="20"/>
        </w:rPr>
        <w:t>508/2009</w:t>
      </w:r>
      <w:r w:rsidRPr="00015795">
        <w:rPr>
          <w:rFonts w:ascii="Arial" w:hAnsi="Arial" w:cs="Arial"/>
          <w:sz w:val="20"/>
        </w:rPr>
        <w:t xml:space="preserve"> Z.z.</w:t>
      </w:r>
    </w:p>
    <w:p w14:paraId="29616EB6" w14:textId="77777777" w:rsidR="00897FED" w:rsidRPr="00015795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Všetky stroje, prístroje a zariadenia navrhované v tejto dokumentácii musia obsahovať certifikáty platné v Slovenskej republike pre dané prostredie, v ktorom budú umiestnené.</w:t>
      </w:r>
    </w:p>
    <w:p w14:paraId="19E0FA4F" w14:textId="26BF0FB0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 w:rsidRPr="00015795">
        <w:rPr>
          <w:rFonts w:ascii="Arial" w:hAnsi="Arial" w:cs="Arial"/>
          <w:sz w:val="20"/>
        </w:rPr>
        <w:t xml:space="preserve">Na elektrickom zariadení pred uvedením do prevádzky sa musí vykonať a potom aj v ďalšom období vykonávať pravidelná </w:t>
      </w:r>
      <w:r>
        <w:rPr>
          <w:rFonts w:ascii="Arial" w:hAnsi="Arial" w:cs="Arial"/>
          <w:sz w:val="20"/>
        </w:rPr>
        <w:t>revízia</w:t>
      </w:r>
      <w:r w:rsidRPr="00015795">
        <w:rPr>
          <w:rFonts w:ascii="Arial" w:hAnsi="Arial" w:cs="Arial"/>
          <w:sz w:val="20"/>
        </w:rPr>
        <w:t xml:space="preserve"> el</w:t>
      </w:r>
      <w:r>
        <w:rPr>
          <w:rFonts w:ascii="Arial" w:hAnsi="Arial" w:cs="Arial"/>
          <w:sz w:val="20"/>
        </w:rPr>
        <w:t>ektrických</w:t>
      </w:r>
      <w:r w:rsidRPr="00015795">
        <w:rPr>
          <w:rFonts w:ascii="Arial" w:hAnsi="Arial" w:cs="Arial"/>
          <w:sz w:val="20"/>
        </w:rPr>
        <w:t xml:space="preserve"> z</w:t>
      </w:r>
      <w:r>
        <w:rPr>
          <w:rFonts w:ascii="Arial" w:hAnsi="Arial" w:cs="Arial"/>
          <w:sz w:val="20"/>
        </w:rPr>
        <w:t>ariadení v zmysle STN 33 2000-6</w:t>
      </w:r>
      <w:r w:rsidRPr="00015795">
        <w:rPr>
          <w:rFonts w:ascii="Arial" w:hAnsi="Arial" w:cs="Arial"/>
          <w:sz w:val="20"/>
        </w:rPr>
        <w:t xml:space="preserve">, STN 33 1500 a vyhlášky  č. </w:t>
      </w:r>
      <w:r>
        <w:rPr>
          <w:rFonts w:ascii="Arial" w:hAnsi="Arial" w:cs="Arial"/>
          <w:sz w:val="20"/>
        </w:rPr>
        <w:t>398/2013</w:t>
      </w:r>
      <w:r w:rsidRPr="00015795">
        <w:rPr>
          <w:rFonts w:ascii="Arial" w:hAnsi="Arial" w:cs="Arial"/>
          <w:sz w:val="20"/>
        </w:rPr>
        <w:t xml:space="preserve"> Z.z., prípadne aj podľa príslušných prevádzkových predpisov investora.</w:t>
      </w:r>
    </w:p>
    <w:p w14:paraId="66EF7965" w14:textId="77777777" w:rsidR="00897FED" w:rsidRDefault="00897FED" w:rsidP="00897FED">
      <w:pPr>
        <w:spacing w:after="0" w:line="240" w:lineRule="auto"/>
        <w:ind w:right="567" w:firstLine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 prípade požiaru, úrazu osôb alebo havárie v rozvádzačoch je možnosť vypnúť prívod elektrickej energie do objektu. Elektrické zariadenie neobsahuje prvky, ktoré by nebolo možné vypnúť.</w:t>
      </w:r>
    </w:p>
    <w:p w14:paraId="0C110996" w14:textId="77777777" w:rsidR="00897FED" w:rsidRPr="004324B5" w:rsidRDefault="00897FED" w:rsidP="00897FED">
      <w:pPr>
        <w:spacing w:after="0" w:line="240" w:lineRule="auto"/>
        <w:ind w:right="567" w:firstLine="567"/>
        <w:jc w:val="both"/>
        <w:rPr>
          <w:rFonts w:ascii="Arial" w:hAnsi="Arial"/>
          <w:sz w:val="20"/>
        </w:rPr>
      </w:pPr>
      <w:r>
        <w:rPr>
          <w:rFonts w:ascii="Arial" w:hAnsi="Arial" w:cs="Arial"/>
          <w:sz w:val="20"/>
        </w:rPr>
        <w:t>Dodávateľ je povinný do všetkých paré PD zakresliť skutočné vyhotovenie elektroinštalácie</w:t>
      </w:r>
    </w:p>
    <w:p w14:paraId="04A97692" w14:textId="77777777" w:rsidR="00897FED" w:rsidRPr="00015795" w:rsidRDefault="00897FED" w:rsidP="00897FED">
      <w:pPr>
        <w:spacing w:after="0" w:line="240" w:lineRule="auto"/>
        <w:ind w:right="567"/>
        <w:jc w:val="both"/>
        <w:rPr>
          <w:rFonts w:ascii="Arial" w:hAnsi="Arial" w:cs="Arial"/>
          <w:sz w:val="20"/>
        </w:rPr>
      </w:pPr>
    </w:p>
    <w:p w14:paraId="74365F8E" w14:textId="634253AF" w:rsidR="00897FED" w:rsidRPr="001937B9" w:rsidRDefault="00897FED" w:rsidP="00897FED">
      <w:pPr>
        <w:spacing w:after="0" w:line="240" w:lineRule="auto"/>
        <w:jc w:val="both"/>
        <w:rPr>
          <w:rFonts w:ascii="Arial" w:hAnsi="Arial" w:cs="Arial"/>
        </w:rPr>
      </w:pPr>
      <w:r w:rsidRPr="00015795">
        <w:rPr>
          <w:rFonts w:ascii="Arial" w:hAnsi="Arial" w:cs="Arial"/>
          <w:b/>
          <w:sz w:val="20"/>
        </w:rPr>
        <w:t>Košice,</w:t>
      </w:r>
      <w:r>
        <w:rPr>
          <w:rFonts w:ascii="Arial" w:hAnsi="Arial" w:cs="Arial"/>
          <w:b/>
          <w:sz w:val="20"/>
        </w:rPr>
        <w:t xml:space="preserve"> </w:t>
      </w:r>
      <w:r w:rsidR="003A0029">
        <w:rPr>
          <w:rFonts w:ascii="Arial" w:hAnsi="Arial" w:cs="Arial"/>
          <w:b/>
          <w:sz w:val="20"/>
        </w:rPr>
        <w:t xml:space="preserve">december </w:t>
      </w:r>
      <w:r w:rsidR="0082134D">
        <w:rPr>
          <w:rFonts w:ascii="Arial" w:hAnsi="Arial" w:cs="Arial"/>
          <w:b/>
          <w:sz w:val="20"/>
        </w:rPr>
        <w:t>202</w:t>
      </w:r>
      <w:r w:rsidR="003A0029">
        <w:rPr>
          <w:rFonts w:ascii="Arial" w:hAnsi="Arial" w:cs="Arial"/>
          <w:b/>
          <w:sz w:val="20"/>
        </w:rPr>
        <w:t>5</w:t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</w:r>
      <w:r w:rsidRPr="00015795">
        <w:rPr>
          <w:rFonts w:ascii="Arial" w:hAnsi="Arial" w:cs="Arial"/>
          <w:b/>
          <w:sz w:val="20"/>
        </w:rPr>
        <w:tab/>
        <w:t xml:space="preserve">Vypracoval: </w:t>
      </w:r>
      <w:r w:rsidRPr="00015795">
        <w:rPr>
          <w:rFonts w:ascii="Arial" w:hAnsi="Arial" w:cs="Arial"/>
          <w:bCs/>
          <w:sz w:val="20"/>
        </w:rPr>
        <w:t>Ing.</w:t>
      </w:r>
      <w:r w:rsidR="003A0029">
        <w:rPr>
          <w:rFonts w:ascii="Arial" w:hAnsi="Arial" w:cs="Arial"/>
          <w:bCs/>
          <w:sz w:val="20"/>
        </w:rPr>
        <w:t xml:space="preserve"> Mlynár</w:t>
      </w:r>
    </w:p>
    <w:p w14:paraId="60AAF74C" w14:textId="7058A4C2" w:rsidR="00185749" w:rsidRDefault="00185749">
      <w:pPr>
        <w:spacing w:after="0" w:line="240" w:lineRule="auto"/>
        <w:rPr>
          <w:rFonts w:ascii="Arial" w:hAnsi="Arial" w:cs="Arial"/>
          <w:sz w:val="20"/>
        </w:rPr>
      </w:pPr>
    </w:p>
    <w:p w14:paraId="496C0EC5" w14:textId="29A5F70A" w:rsidR="007636AC" w:rsidRDefault="00C81F0B" w:rsidP="00675611">
      <w:pPr>
        <w:spacing w:after="0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sz w:val="20"/>
        </w:rPr>
        <w:br w:type="page"/>
      </w:r>
    </w:p>
    <w:p w14:paraId="60AAF75F" w14:textId="517F7794" w:rsidR="00C81F0B" w:rsidRDefault="00C81F0B" w:rsidP="007636AC">
      <w:pPr>
        <w:spacing w:after="0"/>
        <w:rPr>
          <w:rFonts w:ascii="Arial" w:hAnsi="Arial" w:cs="Arial"/>
          <w:sz w:val="20"/>
        </w:rPr>
      </w:pPr>
    </w:p>
    <w:sectPr w:rsidR="00C81F0B" w:rsidSect="00185749">
      <w:headerReference w:type="default" r:id="rId8"/>
      <w:footerReference w:type="default" r:id="rId9"/>
      <w:pgSz w:w="11906" w:h="16838"/>
      <w:pgMar w:top="1418" w:right="1133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1BFCE" w14:textId="77777777" w:rsidR="00AB2B9B" w:rsidRDefault="00AB2B9B" w:rsidP="002239E5">
      <w:pPr>
        <w:spacing w:after="0" w:line="240" w:lineRule="auto"/>
      </w:pPr>
      <w:r>
        <w:separator/>
      </w:r>
    </w:p>
  </w:endnote>
  <w:endnote w:type="continuationSeparator" w:id="0">
    <w:p w14:paraId="6728DC51" w14:textId="77777777" w:rsidR="00AB2B9B" w:rsidRDefault="00AB2B9B" w:rsidP="0022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riekatabuky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6"/>
      <w:gridCol w:w="6411"/>
      <w:gridCol w:w="1128"/>
      <w:gridCol w:w="1427"/>
    </w:tblGrid>
    <w:tr w:rsidR="00235A55" w14:paraId="2E53C9A3" w14:textId="77777777" w:rsidTr="009016E2">
      <w:trPr>
        <w:trHeight w:val="80"/>
      </w:trPr>
      <w:tc>
        <w:tcPr>
          <w:tcW w:w="959" w:type="dxa"/>
        </w:tcPr>
        <w:p w14:paraId="1A8F7070" w14:textId="2CB437E2" w:rsidR="00235A55" w:rsidRPr="009E3B0B" w:rsidRDefault="00235A55" w:rsidP="009016E2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Dátum</w:t>
          </w:r>
          <w:r w:rsidRPr="009E3B0B">
            <w:rPr>
              <w:b/>
              <w:sz w:val="20"/>
              <w:szCs w:val="20"/>
            </w:rPr>
            <w:t>:</w:t>
          </w:r>
        </w:p>
      </w:tc>
      <w:tc>
        <w:tcPr>
          <w:tcW w:w="6520" w:type="dxa"/>
        </w:tcPr>
        <w:p w14:paraId="0BD92C9E" w14:textId="266CBADE" w:rsidR="00235A55" w:rsidRPr="009E3B0B" w:rsidRDefault="003C40D9" w:rsidP="009016E2">
          <w:pPr>
            <w:pStyle w:val="Hlavika"/>
            <w:tabs>
              <w:tab w:val="left" w:pos="708"/>
              <w:tab w:val="left" w:pos="1416"/>
              <w:tab w:val="left" w:pos="2124"/>
              <w:tab w:val="left" w:pos="2820"/>
            </w:tabs>
            <w:rPr>
              <w:sz w:val="20"/>
              <w:szCs w:val="20"/>
            </w:rPr>
          </w:pPr>
          <w:r>
            <w:rPr>
              <w:sz w:val="20"/>
              <w:szCs w:val="20"/>
            </w:rPr>
            <w:t>02</w:t>
          </w:r>
          <w:r w:rsidR="00235A55">
            <w:rPr>
              <w:sz w:val="20"/>
              <w:szCs w:val="20"/>
            </w:rPr>
            <w:t>/202</w:t>
          </w:r>
          <w:r>
            <w:rPr>
              <w:sz w:val="20"/>
              <w:szCs w:val="20"/>
            </w:rPr>
            <w:t>2</w:t>
          </w:r>
        </w:p>
      </w:tc>
      <w:tc>
        <w:tcPr>
          <w:tcW w:w="1134" w:type="dxa"/>
        </w:tcPr>
        <w:p w14:paraId="25915828" w14:textId="29C7ED55" w:rsidR="00235A55" w:rsidRPr="009E3B0B" w:rsidRDefault="00235A55" w:rsidP="009016E2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Strana</w:t>
          </w:r>
          <w:r w:rsidRPr="009E3B0B">
            <w:rPr>
              <w:b/>
              <w:sz w:val="20"/>
              <w:szCs w:val="20"/>
            </w:rPr>
            <w:t>:</w:t>
          </w:r>
        </w:p>
      </w:tc>
      <w:tc>
        <w:tcPr>
          <w:tcW w:w="1449" w:type="dxa"/>
        </w:tcPr>
        <w:p w14:paraId="53EFB732" w14:textId="65187236" w:rsidR="00235A55" w:rsidRPr="009016E2" w:rsidRDefault="00AB2B9B" w:rsidP="009016E2">
          <w:pPr>
            <w:pStyle w:val="Pta"/>
          </w:pPr>
          <w:sdt>
            <w:sdtPr>
              <w:id w:val="1140694937"/>
              <w:docPartObj>
                <w:docPartGallery w:val="Page Numbers (Bottom of Page)"/>
                <w:docPartUnique/>
              </w:docPartObj>
            </w:sdtPr>
            <w:sdtEndPr/>
            <w:sdtContent>
              <w:r w:rsidR="00235A55">
                <w:fldChar w:fldCharType="begin"/>
              </w:r>
              <w:r w:rsidR="00235A55">
                <w:instrText>PAGE   \* MERGEFORMAT</w:instrText>
              </w:r>
              <w:r w:rsidR="00235A55">
                <w:fldChar w:fldCharType="separate"/>
              </w:r>
              <w:r w:rsidR="00235A55">
                <w:t>1</w:t>
              </w:r>
              <w:r w:rsidR="00235A55">
                <w:fldChar w:fldCharType="end"/>
              </w:r>
            </w:sdtContent>
          </w:sdt>
          <w:r w:rsidR="00235A55">
            <w:t>/</w:t>
          </w:r>
          <w:r w:rsidR="00235A55" w:rsidRPr="009016E2">
            <w:t xml:space="preserve"> </w:t>
          </w:r>
          <w:sdt>
            <w:sdtPr>
              <w:id w:val="141474632"/>
              <w:docPartObj>
                <w:docPartGallery w:val="Page Numbers (Bottom of Page)"/>
                <w:docPartUnique/>
              </w:docPartObj>
            </w:sdtPr>
            <w:sdtEndPr/>
            <w:sdtContent>
              <w:fldSimple w:instr=" NUMPAGES   \* MERGEFORMAT ">
                <w:r w:rsidR="00235A55">
                  <w:t>4</w:t>
                </w:r>
              </w:fldSimple>
            </w:sdtContent>
          </w:sdt>
        </w:p>
      </w:tc>
    </w:tr>
  </w:tbl>
  <w:p w14:paraId="6224CE6D" w14:textId="77777777" w:rsidR="00235A55" w:rsidRDefault="00235A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E4099" w14:textId="77777777" w:rsidR="00AB2B9B" w:rsidRDefault="00AB2B9B" w:rsidP="002239E5">
      <w:pPr>
        <w:spacing w:after="0" w:line="240" w:lineRule="auto"/>
      </w:pPr>
      <w:r>
        <w:separator/>
      </w:r>
    </w:p>
  </w:footnote>
  <w:footnote w:type="continuationSeparator" w:id="0">
    <w:p w14:paraId="276B9F82" w14:textId="77777777" w:rsidR="00AB2B9B" w:rsidRDefault="00AB2B9B" w:rsidP="00223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F76B" w14:textId="77777777" w:rsidR="00235A55" w:rsidRDefault="00235A55" w:rsidP="002239E5">
    <w:pPr>
      <w:pStyle w:val="Hlavika"/>
      <w:tabs>
        <w:tab w:val="clear" w:pos="9072"/>
      </w:tabs>
      <w:ind w:right="-1417"/>
    </w:pPr>
  </w:p>
  <w:p w14:paraId="60AAF76C" w14:textId="77777777" w:rsidR="00235A55" w:rsidRDefault="00235A55" w:rsidP="002239E5">
    <w:pPr>
      <w:pStyle w:val="Hlavika"/>
      <w:tabs>
        <w:tab w:val="clear" w:pos="9072"/>
      </w:tabs>
      <w:ind w:right="-1417"/>
    </w:pPr>
  </w:p>
  <w:tbl>
    <w:tblPr>
      <w:tblStyle w:val="Mriekatabuky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14"/>
      <w:gridCol w:w="5988"/>
      <w:gridCol w:w="991"/>
      <w:gridCol w:w="1429"/>
    </w:tblGrid>
    <w:tr w:rsidR="00235A55" w14:paraId="60AAF771" w14:textId="77777777" w:rsidTr="00D721C0">
      <w:trPr>
        <w:trHeight w:val="142"/>
      </w:trPr>
      <w:tc>
        <w:tcPr>
          <w:tcW w:w="1526" w:type="dxa"/>
        </w:tcPr>
        <w:p w14:paraId="60AAF76D" w14:textId="77777777" w:rsidR="00235A55" w:rsidRPr="009E3B0B" w:rsidRDefault="00235A55" w:rsidP="002239E5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 w:rsidRPr="009E3B0B">
            <w:rPr>
              <w:b/>
              <w:sz w:val="20"/>
              <w:szCs w:val="20"/>
            </w:rPr>
            <w:t>Stavba:</w:t>
          </w:r>
        </w:p>
      </w:tc>
      <w:tc>
        <w:tcPr>
          <w:tcW w:w="6095" w:type="dxa"/>
        </w:tcPr>
        <w:p w14:paraId="60AAF76E" w14:textId="050EAF7F" w:rsidR="00235A55" w:rsidRPr="00D721C0" w:rsidRDefault="00086F57" w:rsidP="00C53660">
          <w:pPr>
            <w:pStyle w:val="Hlavika"/>
            <w:tabs>
              <w:tab w:val="left" w:pos="708"/>
              <w:tab w:val="left" w:pos="1416"/>
              <w:tab w:val="left" w:pos="2124"/>
              <w:tab w:val="left" w:pos="2820"/>
            </w:tabs>
            <w:rPr>
              <w:sz w:val="20"/>
              <w:szCs w:val="20"/>
            </w:rPr>
          </w:pPr>
          <w:r>
            <w:rPr>
              <w:sz w:val="20"/>
              <w:szCs w:val="20"/>
            </w:rPr>
            <w:t>TOBOGAN PRE NOC KOŠICE</w:t>
          </w:r>
        </w:p>
      </w:tc>
      <w:tc>
        <w:tcPr>
          <w:tcW w:w="992" w:type="dxa"/>
        </w:tcPr>
        <w:p w14:paraId="60AAF76F" w14:textId="77777777" w:rsidR="00235A55" w:rsidRPr="009E3B0B" w:rsidRDefault="00235A55" w:rsidP="002239E5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 w:rsidRPr="009E3B0B">
            <w:rPr>
              <w:b/>
              <w:sz w:val="20"/>
              <w:szCs w:val="20"/>
            </w:rPr>
            <w:t>Profesia:</w:t>
          </w:r>
        </w:p>
      </w:tc>
      <w:tc>
        <w:tcPr>
          <w:tcW w:w="1449" w:type="dxa"/>
        </w:tcPr>
        <w:p w14:paraId="60AAF770" w14:textId="15D5F824" w:rsidR="00235A55" w:rsidRPr="009E3B0B" w:rsidRDefault="00F67194" w:rsidP="00250D89">
          <w:pPr>
            <w:pStyle w:val="Hlavika"/>
            <w:tabs>
              <w:tab w:val="clear" w:pos="9072"/>
            </w:tabs>
            <w:ind w:right="-1417"/>
            <w:rPr>
              <w:sz w:val="20"/>
              <w:szCs w:val="20"/>
            </w:rPr>
          </w:pPr>
          <w:r>
            <w:rPr>
              <w:sz w:val="20"/>
              <w:szCs w:val="20"/>
            </w:rPr>
            <w:t>SL</w:t>
          </w:r>
          <w:r w:rsidR="00C1559A">
            <w:rPr>
              <w:sz w:val="20"/>
              <w:szCs w:val="20"/>
            </w:rPr>
            <w:t>P</w:t>
          </w:r>
        </w:p>
      </w:tc>
    </w:tr>
    <w:tr w:rsidR="00235A55" w14:paraId="60AAF776" w14:textId="77777777" w:rsidTr="00D721C0">
      <w:trPr>
        <w:trHeight w:val="80"/>
      </w:trPr>
      <w:tc>
        <w:tcPr>
          <w:tcW w:w="1526" w:type="dxa"/>
          <w:tcBorders>
            <w:bottom w:val="single" w:sz="4" w:space="0" w:color="auto"/>
          </w:tcBorders>
        </w:tcPr>
        <w:p w14:paraId="60AAF772" w14:textId="77777777" w:rsidR="00235A55" w:rsidRPr="009E3B0B" w:rsidRDefault="00235A55" w:rsidP="002239E5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 w:rsidRPr="009E3B0B">
            <w:rPr>
              <w:b/>
              <w:sz w:val="20"/>
              <w:szCs w:val="20"/>
            </w:rPr>
            <w:t>Stavebný objekt:</w:t>
          </w:r>
        </w:p>
      </w:tc>
      <w:tc>
        <w:tcPr>
          <w:tcW w:w="6095" w:type="dxa"/>
          <w:tcBorders>
            <w:bottom w:val="single" w:sz="4" w:space="0" w:color="auto"/>
          </w:tcBorders>
        </w:tcPr>
        <w:p w14:paraId="60AAF773" w14:textId="13439996" w:rsidR="00235A55" w:rsidRPr="009E3B0B" w:rsidRDefault="00C1559A" w:rsidP="009016E2">
          <w:pPr>
            <w:pStyle w:val="Hlavika"/>
            <w:tabs>
              <w:tab w:val="left" w:pos="708"/>
              <w:tab w:val="left" w:pos="1416"/>
              <w:tab w:val="left" w:pos="2124"/>
              <w:tab w:val="left" w:pos="2820"/>
            </w:tabs>
            <w:rPr>
              <w:sz w:val="20"/>
              <w:szCs w:val="20"/>
            </w:rPr>
          </w:pPr>
          <w:r w:rsidRPr="00C1559A">
            <w:rPr>
              <w:sz w:val="20"/>
              <w:szCs w:val="20"/>
            </w:rPr>
            <w:t>SO 01 - HLAVNÝ OBJEKT</w:t>
          </w:r>
        </w:p>
      </w:tc>
      <w:tc>
        <w:tcPr>
          <w:tcW w:w="992" w:type="dxa"/>
          <w:tcBorders>
            <w:bottom w:val="single" w:sz="4" w:space="0" w:color="auto"/>
          </w:tcBorders>
        </w:tcPr>
        <w:p w14:paraId="60AAF774" w14:textId="77777777" w:rsidR="00235A55" w:rsidRPr="009E3B0B" w:rsidRDefault="00235A55" w:rsidP="002239E5">
          <w:pPr>
            <w:pStyle w:val="Hlavika"/>
            <w:tabs>
              <w:tab w:val="clear" w:pos="9072"/>
            </w:tabs>
            <w:ind w:right="-1417"/>
            <w:rPr>
              <w:b/>
              <w:sz w:val="20"/>
              <w:szCs w:val="20"/>
            </w:rPr>
          </w:pPr>
          <w:r w:rsidRPr="009E3B0B">
            <w:rPr>
              <w:b/>
              <w:sz w:val="20"/>
              <w:szCs w:val="20"/>
            </w:rPr>
            <w:t>Stupeň:</w:t>
          </w:r>
        </w:p>
      </w:tc>
      <w:tc>
        <w:tcPr>
          <w:tcW w:w="1449" w:type="dxa"/>
          <w:tcBorders>
            <w:bottom w:val="single" w:sz="4" w:space="0" w:color="auto"/>
          </w:tcBorders>
        </w:tcPr>
        <w:p w14:paraId="60AAF775" w14:textId="6300BFC1" w:rsidR="00235A55" w:rsidRPr="009E3B0B" w:rsidRDefault="00675611" w:rsidP="002239E5">
          <w:pPr>
            <w:pStyle w:val="Hlavika"/>
            <w:tabs>
              <w:tab w:val="clear" w:pos="9072"/>
            </w:tabs>
            <w:ind w:right="-1417"/>
            <w:rPr>
              <w:sz w:val="20"/>
              <w:szCs w:val="20"/>
            </w:rPr>
          </w:pPr>
          <w:r>
            <w:rPr>
              <w:sz w:val="20"/>
              <w:szCs w:val="20"/>
            </w:rPr>
            <w:t>R</w:t>
          </w:r>
          <w:r w:rsidR="0099301F">
            <w:rPr>
              <w:sz w:val="20"/>
              <w:szCs w:val="20"/>
            </w:rPr>
            <w:t>P</w:t>
          </w:r>
        </w:p>
      </w:tc>
    </w:tr>
  </w:tbl>
  <w:p w14:paraId="60AAF777" w14:textId="77777777" w:rsidR="00235A55" w:rsidRDefault="00235A55" w:rsidP="002239E5">
    <w:pPr>
      <w:pStyle w:val="Hlavika"/>
      <w:tabs>
        <w:tab w:val="clear" w:pos="9072"/>
      </w:tabs>
      <w:ind w:right="-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992473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3"/>
    <w:multiLevelType w:val="singleLevel"/>
    <w:tmpl w:val="363A9FD4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CF1713"/>
    <w:multiLevelType w:val="singleLevel"/>
    <w:tmpl w:val="CF2420AA"/>
    <w:lvl w:ilvl="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 w:hint="default"/>
      </w:rPr>
    </w:lvl>
  </w:abstractNum>
  <w:abstractNum w:abstractNumId="3" w15:restartNumberingAfterBreak="0">
    <w:nsid w:val="0AF874DB"/>
    <w:multiLevelType w:val="hybridMultilevel"/>
    <w:tmpl w:val="D95409B4"/>
    <w:lvl w:ilvl="0" w:tplc="00CE30C2">
      <w:numFmt w:val="bullet"/>
      <w:lvlText w:val="•"/>
      <w:lvlJc w:val="left"/>
      <w:pPr>
        <w:ind w:left="927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FDB6795"/>
    <w:multiLevelType w:val="hybridMultilevel"/>
    <w:tmpl w:val="A5C4F4C2"/>
    <w:lvl w:ilvl="0" w:tplc="D33A0B8E">
      <w:start w:val="1"/>
      <w:numFmt w:val="decimal"/>
      <w:lvlText w:val="%1-"/>
      <w:lvlJc w:val="left"/>
      <w:pPr>
        <w:ind w:left="5316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603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675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747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819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891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963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1035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11076" w:hanging="180"/>
      </w:pPr>
      <w:rPr>
        <w:rFonts w:cs="Times New Roman"/>
      </w:rPr>
    </w:lvl>
  </w:abstractNum>
  <w:abstractNum w:abstractNumId="5" w15:restartNumberingAfterBreak="0">
    <w:nsid w:val="16E327AF"/>
    <w:multiLevelType w:val="multilevel"/>
    <w:tmpl w:val="43568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PODNADPIS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B356863"/>
    <w:multiLevelType w:val="hybridMultilevel"/>
    <w:tmpl w:val="9B9C18D0"/>
    <w:lvl w:ilvl="0" w:tplc="8632C462">
      <w:start w:val="2"/>
      <w:numFmt w:val="bullet"/>
      <w:lvlText w:val="-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D003489"/>
    <w:multiLevelType w:val="hybridMultilevel"/>
    <w:tmpl w:val="18F4A382"/>
    <w:lvl w:ilvl="0" w:tplc="527E2538">
      <w:start w:val="2"/>
      <w:numFmt w:val="bullet"/>
      <w:lvlText w:val="-"/>
      <w:lvlJc w:val="left"/>
      <w:pPr>
        <w:ind w:left="1494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02844AA"/>
    <w:multiLevelType w:val="hybridMultilevel"/>
    <w:tmpl w:val="C8CA65D0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F5206DF"/>
    <w:multiLevelType w:val="hybridMultilevel"/>
    <w:tmpl w:val="898C2E0A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A1ABA"/>
    <w:multiLevelType w:val="hybridMultilevel"/>
    <w:tmpl w:val="FA147568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AEB7A6A"/>
    <w:multiLevelType w:val="hybridMultilevel"/>
    <w:tmpl w:val="3202F782"/>
    <w:lvl w:ilvl="0" w:tplc="5B08A8B8">
      <w:start w:val="2"/>
      <w:numFmt w:val="bullet"/>
      <w:lvlText w:val="-"/>
      <w:lvlJc w:val="left"/>
      <w:pPr>
        <w:ind w:left="1494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3E284010"/>
    <w:multiLevelType w:val="multilevel"/>
    <w:tmpl w:val="BF0A9A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50325064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1711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0EC302E"/>
    <w:multiLevelType w:val="hybridMultilevel"/>
    <w:tmpl w:val="A0DA59F8"/>
    <w:lvl w:ilvl="0" w:tplc="C1A2098C">
      <w:start w:val="2"/>
      <w:numFmt w:val="bullet"/>
      <w:lvlText w:val="-"/>
      <w:lvlJc w:val="left"/>
      <w:pPr>
        <w:ind w:left="1494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5B0C3462"/>
    <w:multiLevelType w:val="multilevel"/>
    <w:tmpl w:val="9D3E0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5E86112F"/>
    <w:multiLevelType w:val="hybridMultilevel"/>
    <w:tmpl w:val="BC0EF90C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64700"/>
    <w:multiLevelType w:val="hybridMultilevel"/>
    <w:tmpl w:val="C3C85936"/>
    <w:lvl w:ilvl="0" w:tplc="EFB804DC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0A4016"/>
    <w:multiLevelType w:val="hybridMultilevel"/>
    <w:tmpl w:val="9D044FAC"/>
    <w:lvl w:ilvl="0" w:tplc="0428E8AA">
      <w:start w:val="1"/>
      <w:numFmt w:val="bullet"/>
      <w:pStyle w:val="Program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842B7A"/>
    <w:multiLevelType w:val="multilevel"/>
    <w:tmpl w:val="2138D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PODNADPIS1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3EC7FC3"/>
    <w:multiLevelType w:val="hybridMultilevel"/>
    <w:tmpl w:val="3AD4526A"/>
    <w:lvl w:ilvl="0" w:tplc="041B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255C2"/>
    <w:multiLevelType w:val="multilevel"/>
    <w:tmpl w:val="537AC846"/>
    <w:lvl w:ilvl="0">
      <w:start w:val="8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670303561">
    <w:abstractNumId w:val="13"/>
  </w:num>
  <w:num w:numId="2" w16cid:durableId="603222921">
    <w:abstractNumId w:val="8"/>
  </w:num>
  <w:num w:numId="3" w16cid:durableId="326058106">
    <w:abstractNumId w:val="19"/>
  </w:num>
  <w:num w:numId="4" w16cid:durableId="14466509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810774">
    <w:abstractNumId w:val="20"/>
  </w:num>
  <w:num w:numId="6" w16cid:durableId="1222671865">
    <w:abstractNumId w:val="5"/>
  </w:num>
  <w:num w:numId="7" w16cid:durableId="1085692453">
    <w:abstractNumId w:val="15"/>
  </w:num>
  <w:num w:numId="8" w16cid:durableId="735784646">
    <w:abstractNumId w:val="2"/>
  </w:num>
  <w:num w:numId="9" w16cid:durableId="1010565277">
    <w:abstractNumId w:val="21"/>
  </w:num>
  <w:num w:numId="10" w16cid:durableId="1979412458">
    <w:abstractNumId w:val="12"/>
  </w:num>
  <w:num w:numId="11" w16cid:durableId="1144200123">
    <w:abstractNumId w:val="3"/>
  </w:num>
  <w:num w:numId="12" w16cid:durableId="674115375">
    <w:abstractNumId w:val="0"/>
  </w:num>
  <w:num w:numId="13" w16cid:durableId="428816184">
    <w:abstractNumId w:val="1"/>
  </w:num>
  <w:num w:numId="14" w16cid:durableId="1575161429">
    <w:abstractNumId w:val="10"/>
  </w:num>
  <w:num w:numId="15" w16cid:durableId="243685442">
    <w:abstractNumId w:val="9"/>
  </w:num>
  <w:num w:numId="16" w16cid:durableId="839004870">
    <w:abstractNumId w:val="16"/>
  </w:num>
  <w:num w:numId="17" w16cid:durableId="1206025787">
    <w:abstractNumId w:val="17"/>
  </w:num>
  <w:num w:numId="18" w16cid:durableId="141401459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08667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63336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70609345">
    <w:abstractNumId w:val="2"/>
    <w:lvlOverride w:ilvl="0">
      <w:startOverride w:val="1"/>
    </w:lvlOverride>
  </w:num>
  <w:num w:numId="22" w16cid:durableId="657225655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2567045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6057783">
    <w:abstractNumId w:val="11"/>
  </w:num>
  <w:num w:numId="25" w16cid:durableId="670524480">
    <w:abstractNumId w:val="6"/>
  </w:num>
  <w:num w:numId="26" w16cid:durableId="944070570">
    <w:abstractNumId w:val="7"/>
  </w:num>
  <w:num w:numId="27" w16cid:durableId="175862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BB"/>
    <w:rsid w:val="0002231A"/>
    <w:rsid w:val="00024860"/>
    <w:rsid w:val="00026617"/>
    <w:rsid w:val="00045E6E"/>
    <w:rsid w:val="0005056A"/>
    <w:rsid w:val="00070A4B"/>
    <w:rsid w:val="00080A06"/>
    <w:rsid w:val="00086F57"/>
    <w:rsid w:val="00092850"/>
    <w:rsid w:val="000B182E"/>
    <w:rsid w:val="000B6966"/>
    <w:rsid w:val="000C2E13"/>
    <w:rsid w:val="000D741B"/>
    <w:rsid w:val="000E11E0"/>
    <w:rsid w:val="000F2908"/>
    <w:rsid w:val="001009DE"/>
    <w:rsid w:val="00110FBB"/>
    <w:rsid w:val="00114875"/>
    <w:rsid w:val="001472C4"/>
    <w:rsid w:val="0017277D"/>
    <w:rsid w:val="0018371D"/>
    <w:rsid w:val="00185749"/>
    <w:rsid w:val="00197613"/>
    <w:rsid w:val="00197AFD"/>
    <w:rsid w:val="001B635D"/>
    <w:rsid w:val="001C1946"/>
    <w:rsid w:val="001C4079"/>
    <w:rsid w:val="001D2183"/>
    <w:rsid w:val="001D31FF"/>
    <w:rsid w:val="001E011F"/>
    <w:rsid w:val="001F3AF5"/>
    <w:rsid w:val="001F7BE0"/>
    <w:rsid w:val="00216752"/>
    <w:rsid w:val="002239E5"/>
    <w:rsid w:val="00235A55"/>
    <w:rsid w:val="00237479"/>
    <w:rsid w:val="00242B85"/>
    <w:rsid w:val="002456BB"/>
    <w:rsid w:val="00250D89"/>
    <w:rsid w:val="00261D81"/>
    <w:rsid w:val="00264BCD"/>
    <w:rsid w:val="00272372"/>
    <w:rsid w:val="00273EAC"/>
    <w:rsid w:val="00277B0A"/>
    <w:rsid w:val="002A3010"/>
    <w:rsid w:val="002A3430"/>
    <w:rsid w:val="002A5A18"/>
    <w:rsid w:val="002C3628"/>
    <w:rsid w:val="002D2F66"/>
    <w:rsid w:val="002E5154"/>
    <w:rsid w:val="00312B22"/>
    <w:rsid w:val="00331EC4"/>
    <w:rsid w:val="003417E3"/>
    <w:rsid w:val="00342451"/>
    <w:rsid w:val="00347474"/>
    <w:rsid w:val="0035387D"/>
    <w:rsid w:val="003636A3"/>
    <w:rsid w:val="00372827"/>
    <w:rsid w:val="00382F8F"/>
    <w:rsid w:val="0038588B"/>
    <w:rsid w:val="003A0029"/>
    <w:rsid w:val="003A2BEE"/>
    <w:rsid w:val="003B2A04"/>
    <w:rsid w:val="003C0441"/>
    <w:rsid w:val="003C40D9"/>
    <w:rsid w:val="003D3FD6"/>
    <w:rsid w:val="00435D7E"/>
    <w:rsid w:val="00442CAE"/>
    <w:rsid w:val="00474B20"/>
    <w:rsid w:val="00475AF5"/>
    <w:rsid w:val="00476B00"/>
    <w:rsid w:val="004939D3"/>
    <w:rsid w:val="004F4492"/>
    <w:rsid w:val="00500FF7"/>
    <w:rsid w:val="00504054"/>
    <w:rsid w:val="005042B6"/>
    <w:rsid w:val="0053643F"/>
    <w:rsid w:val="005735C0"/>
    <w:rsid w:val="005878D1"/>
    <w:rsid w:val="00595FC0"/>
    <w:rsid w:val="005A1EA9"/>
    <w:rsid w:val="005B05CD"/>
    <w:rsid w:val="005B5E43"/>
    <w:rsid w:val="005D2F9D"/>
    <w:rsid w:val="005E110F"/>
    <w:rsid w:val="005F111A"/>
    <w:rsid w:val="005F6E20"/>
    <w:rsid w:val="00606C0F"/>
    <w:rsid w:val="00623E25"/>
    <w:rsid w:val="00650A5A"/>
    <w:rsid w:val="0066495F"/>
    <w:rsid w:val="00675611"/>
    <w:rsid w:val="00677424"/>
    <w:rsid w:val="006804DA"/>
    <w:rsid w:val="006828C4"/>
    <w:rsid w:val="00686C89"/>
    <w:rsid w:val="006B00B7"/>
    <w:rsid w:val="006D23A7"/>
    <w:rsid w:val="007413DF"/>
    <w:rsid w:val="00741D9F"/>
    <w:rsid w:val="00747C01"/>
    <w:rsid w:val="00751A31"/>
    <w:rsid w:val="007636AC"/>
    <w:rsid w:val="00781984"/>
    <w:rsid w:val="00790C98"/>
    <w:rsid w:val="0079393E"/>
    <w:rsid w:val="007C07B4"/>
    <w:rsid w:val="007C232D"/>
    <w:rsid w:val="00801FA8"/>
    <w:rsid w:val="0082134D"/>
    <w:rsid w:val="008749EF"/>
    <w:rsid w:val="00897FED"/>
    <w:rsid w:val="008A15FE"/>
    <w:rsid w:val="008D2D1D"/>
    <w:rsid w:val="008E2C4B"/>
    <w:rsid w:val="008E511C"/>
    <w:rsid w:val="008F653F"/>
    <w:rsid w:val="009016E2"/>
    <w:rsid w:val="00905A47"/>
    <w:rsid w:val="00906A39"/>
    <w:rsid w:val="00907F7F"/>
    <w:rsid w:val="00943814"/>
    <w:rsid w:val="0097369F"/>
    <w:rsid w:val="00986D2E"/>
    <w:rsid w:val="009871D0"/>
    <w:rsid w:val="00991F9A"/>
    <w:rsid w:val="00992E4C"/>
    <w:rsid w:val="0099301F"/>
    <w:rsid w:val="009A2FDC"/>
    <w:rsid w:val="009A6CF6"/>
    <w:rsid w:val="009A78B3"/>
    <w:rsid w:val="009B1822"/>
    <w:rsid w:val="009B6B88"/>
    <w:rsid w:val="009C08B2"/>
    <w:rsid w:val="009D17D8"/>
    <w:rsid w:val="009D7485"/>
    <w:rsid w:val="009E3B0B"/>
    <w:rsid w:val="009F1505"/>
    <w:rsid w:val="009F1ED9"/>
    <w:rsid w:val="00A11F59"/>
    <w:rsid w:val="00A17333"/>
    <w:rsid w:val="00A21C6E"/>
    <w:rsid w:val="00A22888"/>
    <w:rsid w:val="00A37C80"/>
    <w:rsid w:val="00A54ECA"/>
    <w:rsid w:val="00A55454"/>
    <w:rsid w:val="00A654F3"/>
    <w:rsid w:val="00A66102"/>
    <w:rsid w:val="00AB2B9B"/>
    <w:rsid w:val="00AB3D88"/>
    <w:rsid w:val="00AC0CD3"/>
    <w:rsid w:val="00AC73C4"/>
    <w:rsid w:val="00AD0790"/>
    <w:rsid w:val="00AF4B75"/>
    <w:rsid w:val="00AF6433"/>
    <w:rsid w:val="00B06806"/>
    <w:rsid w:val="00B279AD"/>
    <w:rsid w:val="00B307C7"/>
    <w:rsid w:val="00B52D54"/>
    <w:rsid w:val="00BD1AA2"/>
    <w:rsid w:val="00BD4A2F"/>
    <w:rsid w:val="00BE19ED"/>
    <w:rsid w:val="00BE2A48"/>
    <w:rsid w:val="00C0026C"/>
    <w:rsid w:val="00C04957"/>
    <w:rsid w:val="00C1559A"/>
    <w:rsid w:val="00C32FD2"/>
    <w:rsid w:val="00C53660"/>
    <w:rsid w:val="00C61A67"/>
    <w:rsid w:val="00C81F0B"/>
    <w:rsid w:val="00C912CC"/>
    <w:rsid w:val="00CB3B89"/>
    <w:rsid w:val="00D30387"/>
    <w:rsid w:val="00D533E8"/>
    <w:rsid w:val="00D5432F"/>
    <w:rsid w:val="00D61367"/>
    <w:rsid w:val="00D721C0"/>
    <w:rsid w:val="00D854CE"/>
    <w:rsid w:val="00D9589C"/>
    <w:rsid w:val="00DB3572"/>
    <w:rsid w:val="00DC3589"/>
    <w:rsid w:val="00DD7C20"/>
    <w:rsid w:val="00DE5D97"/>
    <w:rsid w:val="00DF463B"/>
    <w:rsid w:val="00E062DD"/>
    <w:rsid w:val="00E064C0"/>
    <w:rsid w:val="00E6017B"/>
    <w:rsid w:val="00E83210"/>
    <w:rsid w:val="00E87A8D"/>
    <w:rsid w:val="00E916F3"/>
    <w:rsid w:val="00EA2A99"/>
    <w:rsid w:val="00EF225A"/>
    <w:rsid w:val="00EF5EE7"/>
    <w:rsid w:val="00F342C2"/>
    <w:rsid w:val="00F362F1"/>
    <w:rsid w:val="00F5644C"/>
    <w:rsid w:val="00F60CA8"/>
    <w:rsid w:val="00F62D03"/>
    <w:rsid w:val="00F66CD3"/>
    <w:rsid w:val="00F67194"/>
    <w:rsid w:val="00F758FF"/>
    <w:rsid w:val="00F928A7"/>
    <w:rsid w:val="00FB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AF6E2"/>
  <w15:docId w15:val="{75F95686-B56A-4870-BB43-0A86BD90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qFormat/>
    <w:rsid w:val="002239E5"/>
    <w:pPr>
      <w:keepNext/>
      <w:numPr>
        <w:numId w:val="1"/>
      </w:numPr>
      <w:spacing w:after="0" w:line="240" w:lineRule="auto"/>
      <w:outlineLvl w:val="0"/>
    </w:pPr>
    <w:rPr>
      <w:rFonts w:ascii="Arial" w:eastAsia="Times New Roman" w:hAnsi="Arial"/>
      <w:b/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2239E5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Arial" w:eastAsia="Times New Roman" w:hAnsi="Arial"/>
      <w:sz w:val="36"/>
      <w:szCs w:val="20"/>
      <w:lang w:eastAsia="cs-CZ"/>
    </w:rPr>
  </w:style>
  <w:style w:type="paragraph" w:styleId="Nadpis3">
    <w:name w:val="heading 3"/>
    <w:basedOn w:val="Normlny"/>
    <w:next w:val="Normlny"/>
    <w:link w:val="Nadpis3Char"/>
    <w:qFormat/>
    <w:rsid w:val="002239E5"/>
    <w:pPr>
      <w:keepNext/>
      <w:numPr>
        <w:ilvl w:val="2"/>
        <w:numId w:val="1"/>
      </w:numPr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Cs w:val="20"/>
      <w:lang w:eastAsia="cs-CZ"/>
    </w:rPr>
  </w:style>
  <w:style w:type="paragraph" w:styleId="Nadpis4">
    <w:name w:val="heading 4"/>
    <w:basedOn w:val="Normlny"/>
    <w:next w:val="Normlny"/>
    <w:link w:val="Nadpis4Char"/>
    <w:qFormat/>
    <w:rsid w:val="002239E5"/>
    <w:pPr>
      <w:keepNext/>
      <w:numPr>
        <w:ilvl w:val="3"/>
        <w:numId w:val="1"/>
      </w:numPr>
      <w:spacing w:after="0" w:line="240" w:lineRule="auto"/>
      <w:jc w:val="both"/>
      <w:outlineLvl w:val="3"/>
    </w:pPr>
    <w:rPr>
      <w:rFonts w:ascii="Arial" w:eastAsia="Times New Roman" w:hAnsi="Arial" w:cs="Arial"/>
      <w:sz w:val="24"/>
      <w:szCs w:val="20"/>
      <w:lang w:eastAsia="cs-CZ"/>
    </w:rPr>
  </w:style>
  <w:style w:type="paragraph" w:styleId="Nadpis5">
    <w:name w:val="heading 5"/>
    <w:basedOn w:val="Normlny"/>
    <w:next w:val="Normlny"/>
    <w:link w:val="Nadpis5Char"/>
    <w:qFormat/>
    <w:rsid w:val="002239E5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x-none" w:eastAsia="cs-CZ"/>
    </w:rPr>
  </w:style>
  <w:style w:type="paragraph" w:styleId="Nadpis6">
    <w:name w:val="heading 6"/>
    <w:basedOn w:val="Normlny"/>
    <w:next w:val="Normlny"/>
    <w:link w:val="Nadpis6Char"/>
    <w:qFormat/>
    <w:rsid w:val="002239E5"/>
    <w:pPr>
      <w:numPr>
        <w:ilvl w:val="5"/>
        <w:numId w:val="1"/>
      </w:numPr>
      <w:spacing w:before="240" w:after="60" w:line="240" w:lineRule="auto"/>
      <w:outlineLvl w:val="5"/>
    </w:pPr>
    <w:rPr>
      <w:rFonts w:eastAsia="Times New Roman"/>
      <w:b/>
      <w:bCs/>
      <w:lang w:val="x-none" w:eastAsia="cs-CZ"/>
    </w:rPr>
  </w:style>
  <w:style w:type="paragraph" w:styleId="Nadpis7">
    <w:name w:val="heading 7"/>
    <w:basedOn w:val="Normlny"/>
    <w:next w:val="Normlny"/>
    <w:link w:val="Nadpis7Char"/>
    <w:qFormat/>
    <w:rsid w:val="002239E5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  <w:lang w:val="x-none" w:eastAsia="cs-CZ"/>
    </w:rPr>
  </w:style>
  <w:style w:type="paragraph" w:styleId="Nadpis8">
    <w:name w:val="heading 8"/>
    <w:basedOn w:val="Normlny"/>
    <w:next w:val="Normlny"/>
    <w:link w:val="Nadpis8Char"/>
    <w:qFormat/>
    <w:rsid w:val="002239E5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val="x-none" w:eastAsia="cs-CZ"/>
    </w:rPr>
  </w:style>
  <w:style w:type="paragraph" w:styleId="Nadpis9">
    <w:name w:val="heading 9"/>
    <w:basedOn w:val="Normlny"/>
    <w:next w:val="Normlny"/>
    <w:link w:val="Nadpis9Char"/>
    <w:qFormat/>
    <w:rsid w:val="002239E5"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22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39E5"/>
  </w:style>
  <w:style w:type="paragraph" w:styleId="Pta">
    <w:name w:val="footer"/>
    <w:basedOn w:val="Normlny"/>
    <w:link w:val="PtaChar"/>
    <w:uiPriority w:val="99"/>
    <w:unhideWhenUsed/>
    <w:rsid w:val="00223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39E5"/>
  </w:style>
  <w:style w:type="character" w:customStyle="1" w:styleId="Nadpis1Char">
    <w:name w:val="Nadpis 1 Char"/>
    <w:link w:val="Nadpis1"/>
    <w:rsid w:val="002239E5"/>
    <w:rPr>
      <w:rFonts w:ascii="Arial" w:eastAsia="Times New Roman" w:hAnsi="Arial" w:cs="Times New Roman"/>
      <w:b/>
      <w:szCs w:val="20"/>
      <w:lang w:eastAsia="cs-CZ"/>
    </w:rPr>
  </w:style>
  <w:style w:type="character" w:customStyle="1" w:styleId="Nadpis2Char">
    <w:name w:val="Nadpis 2 Char"/>
    <w:link w:val="Nadpis2"/>
    <w:rsid w:val="002239E5"/>
    <w:rPr>
      <w:rFonts w:ascii="Arial" w:eastAsia="Times New Roman" w:hAnsi="Arial" w:cs="Times New Roman"/>
      <w:sz w:val="36"/>
      <w:szCs w:val="20"/>
      <w:lang w:eastAsia="cs-CZ"/>
    </w:rPr>
  </w:style>
  <w:style w:type="character" w:customStyle="1" w:styleId="Nadpis3Char">
    <w:name w:val="Nadpis 3 Char"/>
    <w:link w:val="Nadpis3"/>
    <w:rsid w:val="002239E5"/>
    <w:rPr>
      <w:rFonts w:ascii="Arial" w:eastAsia="Times New Roman" w:hAnsi="Arial" w:cs="Arial"/>
      <w:b/>
      <w:bCs/>
      <w:szCs w:val="20"/>
      <w:lang w:eastAsia="cs-CZ"/>
    </w:rPr>
  </w:style>
  <w:style w:type="character" w:customStyle="1" w:styleId="Nadpis4Char">
    <w:name w:val="Nadpis 4 Char"/>
    <w:link w:val="Nadpis4"/>
    <w:rsid w:val="002239E5"/>
    <w:rPr>
      <w:rFonts w:ascii="Arial" w:eastAsia="Times New Roman" w:hAnsi="Arial" w:cs="Arial"/>
      <w:sz w:val="24"/>
      <w:szCs w:val="20"/>
      <w:lang w:eastAsia="cs-CZ"/>
    </w:rPr>
  </w:style>
  <w:style w:type="character" w:customStyle="1" w:styleId="Nadpis5Char">
    <w:name w:val="Nadpis 5 Char"/>
    <w:link w:val="Nadpis5"/>
    <w:rsid w:val="002239E5"/>
    <w:rPr>
      <w:rFonts w:ascii="Calibri" w:eastAsia="Times New Roman" w:hAnsi="Calibri" w:cs="Times New Roman"/>
      <w:b/>
      <w:bCs/>
      <w:i/>
      <w:iCs/>
      <w:sz w:val="26"/>
      <w:szCs w:val="26"/>
      <w:lang w:val="x-none" w:eastAsia="cs-CZ"/>
    </w:rPr>
  </w:style>
  <w:style w:type="character" w:customStyle="1" w:styleId="Nadpis6Char">
    <w:name w:val="Nadpis 6 Char"/>
    <w:link w:val="Nadpis6"/>
    <w:rsid w:val="002239E5"/>
    <w:rPr>
      <w:rFonts w:ascii="Calibri" w:eastAsia="Times New Roman" w:hAnsi="Calibri" w:cs="Times New Roman"/>
      <w:b/>
      <w:bCs/>
      <w:lang w:val="x-none" w:eastAsia="cs-CZ"/>
    </w:rPr>
  </w:style>
  <w:style w:type="character" w:customStyle="1" w:styleId="Nadpis7Char">
    <w:name w:val="Nadpis 7 Char"/>
    <w:link w:val="Nadpis7"/>
    <w:rsid w:val="002239E5"/>
    <w:rPr>
      <w:rFonts w:ascii="Calibri" w:eastAsia="Times New Roman" w:hAnsi="Calibri" w:cs="Times New Roman"/>
      <w:sz w:val="24"/>
      <w:szCs w:val="24"/>
      <w:lang w:val="x-none" w:eastAsia="cs-CZ"/>
    </w:rPr>
  </w:style>
  <w:style w:type="character" w:customStyle="1" w:styleId="Nadpis8Char">
    <w:name w:val="Nadpis 8 Char"/>
    <w:link w:val="Nadpis8"/>
    <w:rsid w:val="002239E5"/>
    <w:rPr>
      <w:rFonts w:ascii="Calibri" w:eastAsia="Times New Roman" w:hAnsi="Calibri" w:cs="Times New Roman"/>
      <w:i/>
      <w:iCs/>
      <w:sz w:val="24"/>
      <w:szCs w:val="24"/>
      <w:lang w:val="x-none" w:eastAsia="cs-CZ"/>
    </w:rPr>
  </w:style>
  <w:style w:type="character" w:customStyle="1" w:styleId="Nadpis9Char">
    <w:name w:val="Nadpis 9 Char"/>
    <w:link w:val="Nadpis9"/>
    <w:rsid w:val="002239E5"/>
    <w:rPr>
      <w:rFonts w:ascii="Cambria" w:eastAsia="Times New Roman" w:hAnsi="Cambria" w:cs="Times New Roman"/>
      <w:lang w:val="x-none" w:eastAsia="cs-CZ"/>
    </w:rPr>
  </w:style>
  <w:style w:type="character" w:styleId="slostrany">
    <w:name w:val="page number"/>
    <w:basedOn w:val="Predvolenpsmoodseku"/>
    <w:rsid w:val="00347474"/>
  </w:style>
  <w:style w:type="paragraph" w:customStyle="1" w:styleId="PODNADPIS11">
    <w:name w:val="PODNADPIS 1.1"/>
    <w:basedOn w:val="Nadpis2"/>
    <w:uiPriority w:val="99"/>
    <w:rsid w:val="00B279AD"/>
    <w:pPr>
      <w:numPr>
        <w:numId w:val="3"/>
      </w:numPr>
      <w:tabs>
        <w:tab w:val="left" w:pos="567"/>
        <w:tab w:val="left" w:pos="1134"/>
      </w:tabs>
      <w:spacing w:before="80" w:after="40"/>
      <w:jc w:val="left"/>
    </w:pPr>
    <w:rPr>
      <w:rFonts w:cs="Arial"/>
      <w:b/>
      <w:bCs/>
      <w:color w:val="003366"/>
      <w:sz w:val="22"/>
      <w:szCs w:val="22"/>
      <w:lang w:eastAsia="sk-SK"/>
    </w:rPr>
  </w:style>
  <w:style w:type="paragraph" w:styleId="Odsekzoznamu">
    <w:name w:val="List Paragraph"/>
    <w:basedOn w:val="Normlny"/>
    <w:uiPriority w:val="99"/>
    <w:qFormat/>
    <w:rsid w:val="00B279AD"/>
    <w:pPr>
      <w:spacing w:after="0" w:line="240" w:lineRule="auto"/>
      <w:ind w:left="708"/>
    </w:pPr>
    <w:rPr>
      <w:rFonts w:ascii="Arial" w:eastAsia="Times New Roman" w:hAnsi="Arial"/>
      <w:sz w:val="20"/>
      <w:szCs w:val="20"/>
      <w:lang w:eastAsia="cs-CZ"/>
    </w:rPr>
  </w:style>
  <w:style w:type="paragraph" w:customStyle="1" w:styleId="Textpoa">
    <w:name w:val="Text poľa"/>
    <w:basedOn w:val="Normlny"/>
    <w:rsid w:val="00024860"/>
    <w:pPr>
      <w:spacing w:before="60" w:after="60" w:line="240" w:lineRule="auto"/>
    </w:pPr>
    <w:rPr>
      <w:rFonts w:ascii="Arial" w:eastAsia="Times New Roman" w:hAnsi="Arial" w:cs="Arial"/>
      <w:sz w:val="19"/>
      <w:szCs w:val="19"/>
      <w:lang w:val="en-US" w:bidi="en-US"/>
    </w:rPr>
  </w:style>
  <w:style w:type="paragraph" w:customStyle="1" w:styleId="Oznaeniepoa">
    <w:name w:val="Označenie poľa"/>
    <w:basedOn w:val="Normlny"/>
    <w:rsid w:val="00024860"/>
    <w:pPr>
      <w:spacing w:before="60" w:after="60" w:line="240" w:lineRule="auto"/>
    </w:pPr>
    <w:rPr>
      <w:rFonts w:ascii="Arial" w:eastAsia="Times New Roman" w:hAnsi="Arial" w:cs="Arial"/>
      <w:b/>
      <w:sz w:val="19"/>
      <w:szCs w:val="19"/>
      <w:lang w:val="en-US" w:bidi="en-US"/>
    </w:rPr>
  </w:style>
  <w:style w:type="paragraph" w:customStyle="1" w:styleId="Program">
    <w:name w:val="Program"/>
    <w:basedOn w:val="Normlny"/>
    <w:rsid w:val="00024860"/>
    <w:pPr>
      <w:numPr>
        <w:numId w:val="4"/>
      </w:numPr>
      <w:tabs>
        <w:tab w:val="left" w:pos="5040"/>
      </w:tabs>
      <w:spacing w:before="60" w:after="60" w:line="240" w:lineRule="auto"/>
    </w:pPr>
    <w:rPr>
      <w:rFonts w:ascii="Arial" w:eastAsia="Times New Roman" w:hAnsi="Arial" w:cs="Arial"/>
      <w:sz w:val="19"/>
      <w:szCs w:val="19"/>
      <w:lang w:val="en-US" w:bidi="en-US"/>
    </w:rPr>
  </w:style>
  <w:style w:type="paragraph" w:customStyle="1" w:styleId="PODNADPIS1">
    <w:name w:val="PODNADPIS 1."/>
    <w:basedOn w:val="Nadpis2"/>
    <w:uiPriority w:val="99"/>
    <w:rsid w:val="00943814"/>
    <w:pPr>
      <w:numPr>
        <w:numId w:val="6"/>
      </w:numPr>
      <w:tabs>
        <w:tab w:val="left" w:pos="567"/>
        <w:tab w:val="left" w:pos="1134"/>
      </w:tabs>
      <w:spacing w:before="200" w:after="40"/>
      <w:jc w:val="left"/>
    </w:pPr>
    <w:rPr>
      <w:rFonts w:cs="Arial"/>
      <w:b/>
      <w:bCs/>
      <w:color w:val="003366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9D748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ý text Char"/>
    <w:link w:val="Zkladntext"/>
    <w:rsid w:val="009D7485"/>
    <w:rPr>
      <w:rFonts w:ascii="Arial" w:eastAsia="Times New Roman" w:hAnsi="Arial" w:cs="Arial"/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uiPriority w:val="99"/>
    <w:semiHidden/>
    <w:rsid w:val="002456BB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semiHidden/>
    <w:rsid w:val="002456BB"/>
    <w:rPr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D3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D31FF"/>
    <w:rPr>
      <w:rFonts w:ascii="Tahoma" w:hAnsi="Tahoma" w:cs="Tahoma"/>
      <w:sz w:val="16"/>
      <w:szCs w:val="16"/>
      <w:lang w:eastAsia="en-US"/>
    </w:rPr>
  </w:style>
  <w:style w:type="table" w:styleId="Mriekatabuky">
    <w:name w:val="Table Grid"/>
    <w:basedOn w:val="Normlnatabuka"/>
    <w:uiPriority w:val="59"/>
    <w:rsid w:val="009E3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znaitext">
    <w:name w:val="Block Text"/>
    <w:basedOn w:val="Normlny"/>
    <w:uiPriority w:val="99"/>
    <w:rsid w:val="00250D89"/>
    <w:pPr>
      <w:spacing w:after="0" w:line="240" w:lineRule="auto"/>
      <w:ind w:left="567" w:right="567" w:firstLine="426"/>
      <w:jc w:val="both"/>
    </w:pPr>
    <w:rPr>
      <w:rFonts w:ascii="Arial" w:eastAsia="Times New Roman" w:hAnsi="Arial" w:cs="Arial"/>
      <w:bCs/>
      <w:sz w:val="20"/>
      <w:lang w:eastAsia="cs-CZ"/>
    </w:rPr>
  </w:style>
  <w:style w:type="paragraph" w:customStyle="1" w:styleId="pavel">
    <w:name w:val="pavel"/>
    <w:basedOn w:val="Normlny"/>
    <w:uiPriority w:val="99"/>
    <w:rsid w:val="00250D89"/>
    <w:pPr>
      <w:spacing w:after="0" w:line="360" w:lineRule="auto"/>
      <w:jc w:val="both"/>
    </w:pPr>
    <w:rPr>
      <w:rFonts w:ascii="Arial" w:eastAsia="Times New Roman" w:hAnsi="Arial"/>
      <w:spacing w:val="4"/>
      <w:sz w:val="24"/>
      <w:szCs w:val="24"/>
      <w:lang w:eastAsia="cs-CZ"/>
    </w:rPr>
  </w:style>
  <w:style w:type="paragraph" w:styleId="Zoznamsodrkami2">
    <w:name w:val="List Bullet 2"/>
    <w:basedOn w:val="Normlny"/>
    <w:uiPriority w:val="99"/>
    <w:rsid w:val="00250D89"/>
    <w:pPr>
      <w:numPr>
        <w:numId w:val="13"/>
      </w:numPr>
      <w:spacing w:after="20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ta\Downloads\F-MNT-144_Technick&#225;_spr&#225;v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3D557-96A1-40C3-B6DD-77EEF0314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F-MNT-144_Technická_správa</Template>
  <TotalTime>216</TotalTime>
  <Pages>6</Pages>
  <Words>1925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Zla</dc:creator>
  <cp:lastModifiedBy>Király Jozef</cp:lastModifiedBy>
  <cp:revision>81</cp:revision>
  <cp:lastPrinted>2017-02-24T09:10:00Z</cp:lastPrinted>
  <dcterms:created xsi:type="dcterms:W3CDTF">2020-11-10T08:51:00Z</dcterms:created>
  <dcterms:modified xsi:type="dcterms:W3CDTF">2025-12-02T12:02:00Z</dcterms:modified>
</cp:coreProperties>
</file>